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1.xml" ContentType="application/vnd.openxmlformats-officedocument.drawingml.chartshapes+xml"/>
  <Override PartName="/word/charts/chart11.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9EF" w:rsidRPr="00E118F2" w:rsidRDefault="006F04D8" w:rsidP="00082713">
      <w:pPr>
        <w:pStyle w:val="a4"/>
        <w:jc w:val="center"/>
        <w:rPr>
          <w:b/>
        </w:rPr>
      </w:pPr>
      <w:bookmarkStart w:id="0" w:name="_GoBack"/>
      <w:bookmarkEnd w:id="0"/>
      <w:r w:rsidRPr="00E118F2">
        <w:rPr>
          <w:b/>
        </w:rPr>
        <w:t>Доповідь на засіданні Вченої ради КПУ</w:t>
      </w:r>
      <w:r w:rsidR="002C3047" w:rsidRPr="00E118F2">
        <w:rPr>
          <w:b/>
        </w:rPr>
        <w:t xml:space="preserve"> </w:t>
      </w:r>
      <w:r w:rsidR="0001375B" w:rsidRPr="00E118F2">
        <w:rPr>
          <w:b/>
        </w:rPr>
        <w:t>2</w:t>
      </w:r>
      <w:r w:rsidR="00117D9D" w:rsidRPr="00E118F2">
        <w:rPr>
          <w:b/>
        </w:rPr>
        <w:t>5</w:t>
      </w:r>
      <w:r w:rsidRPr="00E118F2">
        <w:rPr>
          <w:b/>
        </w:rPr>
        <w:t xml:space="preserve"> </w:t>
      </w:r>
      <w:r w:rsidR="0001375B" w:rsidRPr="00E118F2">
        <w:rPr>
          <w:b/>
        </w:rPr>
        <w:t>березня</w:t>
      </w:r>
      <w:r w:rsidRPr="00E118F2">
        <w:rPr>
          <w:b/>
        </w:rPr>
        <w:t xml:space="preserve"> 20</w:t>
      </w:r>
      <w:r w:rsidR="00082713" w:rsidRPr="00E118F2">
        <w:rPr>
          <w:b/>
        </w:rPr>
        <w:t>2</w:t>
      </w:r>
      <w:r w:rsidR="00117D9D" w:rsidRPr="00E118F2">
        <w:rPr>
          <w:b/>
        </w:rPr>
        <w:t>6</w:t>
      </w:r>
      <w:r w:rsidRPr="00E118F2">
        <w:rPr>
          <w:b/>
        </w:rPr>
        <w:t xml:space="preserve"> року </w:t>
      </w:r>
    </w:p>
    <w:p w:rsidR="006F04D8" w:rsidRPr="00E118F2" w:rsidRDefault="00EA4998" w:rsidP="00082713">
      <w:pPr>
        <w:pStyle w:val="a4"/>
        <w:jc w:val="center"/>
        <w:rPr>
          <w:b/>
        </w:rPr>
      </w:pPr>
      <w:r w:rsidRPr="00E118F2">
        <w:rPr>
          <w:b/>
        </w:rPr>
        <w:t xml:space="preserve">проректора з </w:t>
      </w:r>
      <w:r w:rsidR="00154153" w:rsidRPr="00E118F2">
        <w:rPr>
          <w:b/>
        </w:rPr>
        <w:t>науково-педагогічної</w:t>
      </w:r>
      <w:r w:rsidRPr="00E118F2">
        <w:rPr>
          <w:b/>
        </w:rPr>
        <w:t xml:space="preserve"> роботи Кравченко В.М.</w:t>
      </w:r>
    </w:p>
    <w:p w:rsidR="00154153" w:rsidRPr="00E118F2" w:rsidRDefault="00154153" w:rsidP="00082713">
      <w:pPr>
        <w:pStyle w:val="a4"/>
        <w:rPr>
          <w:b/>
        </w:rPr>
      </w:pPr>
    </w:p>
    <w:p w:rsidR="00033895" w:rsidRPr="00E118F2" w:rsidRDefault="002A3CBC" w:rsidP="00082713">
      <w:pPr>
        <w:pStyle w:val="a4"/>
        <w:jc w:val="center"/>
        <w:rPr>
          <w:b/>
        </w:rPr>
      </w:pPr>
      <w:r w:rsidRPr="00E118F2">
        <w:rPr>
          <w:b/>
        </w:rPr>
        <w:t>ПРО</w:t>
      </w:r>
      <w:r w:rsidR="00E118C2" w:rsidRPr="00E118F2">
        <w:rPr>
          <w:b/>
        </w:rPr>
        <w:t xml:space="preserve"> РЕЗУЛЬТАТ</w:t>
      </w:r>
      <w:r w:rsidRPr="00E118F2">
        <w:rPr>
          <w:b/>
        </w:rPr>
        <w:t>И</w:t>
      </w:r>
      <w:r w:rsidR="00E118C2" w:rsidRPr="00E118F2">
        <w:rPr>
          <w:b/>
        </w:rPr>
        <w:t xml:space="preserve"> </w:t>
      </w:r>
      <w:r w:rsidR="0001375B" w:rsidRPr="00E118F2">
        <w:rPr>
          <w:b/>
        </w:rPr>
        <w:t>ЗИМОВОЇ</w:t>
      </w:r>
      <w:r w:rsidR="00E118C2" w:rsidRPr="00E118F2">
        <w:rPr>
          <w:b/>
        </w:rPr>
        <w:t xml:space="preserve"> ЗАЛІКОВО-ЕКЗАМЕНАЦІЙНОЇ СЕСІЇ 20</w:t>
      </w:r>
      <w:r w:rsidR="00342E3F" w:rsidRPr="00E118F2">
        <w:rPr>
          <w:b/>
        </w:rPr>
        <w:t>2</w:t>
      </w:r>
      <w:r w:rsidR="00117D9D" w:rsidRPr="00E118F2">
        <w:rPr>
          <w:b/>
        </w:rPr>
        <w:t>5</w:t>
      </w:r>
      <w:r w:rsidR="00E118C2" w:rsidRPr="00E118F2">
        <w:rPr>
          <w:b/>
        </w:rPr>
        <w:t>-20</w:t>
      </w:r>
      <w:r w:rsidR="0011579A" w:rsidRPr="00E118F2">
        <w:rPr>
          <w:b/>
        </w:rPr>
        <w:t>2</w:t>
      </w:r>
      <w:r w:rsidR="00117D9D" w:rsidRPr="00E118F2">
        <w:rPr>
          <w:b/>
        </w:rPr>
        <w:t>6</w:t>
      </w:r>
      <w:r w:rsidR="00E118C2" w:rsidRPr="00E118F2">
        <w:rPr>
          <w:b/>
        </w:rPr>
        <w:t xml:space="preserve"> Н.Р. </w:t>
      </w:r>
    </w:p>
    <w:p w:rsidR="006D1372" w:rsidRPr="00E118F2" w:rsidRDefault="003C2C0C" w:rsidP="006643BC">
      <w:pPr>
        <w:pStyle w:val="a4"/>
        <w:widowControl w:val="0"/>
        <w:ind w:firstLine="720"/>
        <w:jc w:val="both"/>
        <w:rPr>
          <w:szCs w:val="28"/>
        </w:rPr>
      </w:pPr>
      <w:r w:rsidRPr="00E118F2">
        <w:rPr>
          <w:szCs w:val="28"/>
        </w:rPr>
        <w:t xml:space="preserve">Заліково-екзаменаційна сесія проводилася </w:t>
      </w:r>
      <w:r w:rsidR="007B4F71" w:rsidRPr="00E118F2">
        <w:rPr>
          <w:szCs w:val="28"/>
        </w:rPr>
        <w:t>відповідно</w:t>
      </w:r>
      <w:r w:rsidR="00405546" w:rsidRPr="00E118F2">
        <w:rPr>
          <w:szCs w:val="28"/>
        </w:rPr>
        <w:t xml:space="preserve"> до</w:t>
      </w:r>
      <w:r w:rsidR="007B4F71" w:rsidRPr="00E118F2">
        <w:rPr>
          <w:szCs w:val="28"/>
        </w:rPr>
        <w:t xml:space="preserve"> </w:t>
      </w:r>
      <w:r w:rsidR="0001375B" w:rsidRPr="00E118F2">
        <w:rPr>
          <w:szCs w:val="28"/>
        </w:rPr>
        <w:t>затвердженого</w:t>
      </w:r>
      <w:r w:rsidR="00417B03" w:rsidRPr="00E118F2">
        <w:rPr>
          <w:szCs w:val="28"/>
        </w:rPr>
        <w:t xml:space="preserve"> </w:t>
      </w:r>
      <w:r w:rsidR="007B4F71" w:rsidRPr="00E118F2">
        <w:rPr>
          <w:szCs w:val="28"/>
        </w:rPr>
        <w:t xml:space="preserve">графіка </w:t>
      </w:r>
      <w:r w:rsidR="00082713" w:rsidRPr="00E118F2">
        <w:rPr>
          <w:szCs w:val="28"/>
        </w:rPr>
        <w:t>освітнього</w:t>
      </w:r>
      <w:r w:rsidR="007B4F71" w:rsidRPr="00E118F2">
        <w:rPr>
          <w:szCs w:val="28"/>
        </w:rPr>
        <w:t xml:space="preserve"> процесу та </w:t>
      </w:r>
      <w:r w:rsidR="00405546" w:rsidRPr="00E118F2">
        <w:rPr>
          <w:szCs w:val="28"/>
        </w:rPr>
        <w:t>наказу</w:t>
      </w:r>
      <w:r w:rsidR="007B4F71" w:rsidRPr="00E118F2">
        <w:rPr>
          <w:szCs w:val="28"/>
        </w:rPr>
        <w:t xml:space="preserve"> №</w:t>
      </w:r>
      <w:r w:rsidR="00850CCB" w:rsidRPr="00E118F2">
        <w:rPr>
          <w:szCs w:val="28"/>
        </w:rPr>
        <w:t xml:space="preserve"> </w:t>
      </w:r>
      <w:r w:rsidR="00A90BDC" w:rsidRPr="00E118F2">
        <w:rPr>
          <w:szCs w:val="28"/>
        </w:rPr>
        <w:t>13</w:t>
      </w:r>
      <w:r w:rsidR="006643BC" w:rsidRPr="00E118F2">
        <w:rPr>
          <w:szCs w:val="28"/>
        </w:rPr>
        <w:t>1</w:t>
      </w:r>
      <w:r w:rsidR="007B4F71" w:rsidRPr="00E118F2">
        <w:rPr>
          <w:szCs w:val="28"/>
        </w:rPr>
        <w:t xml:space="preserve"> від </w:t>
      </w:r>
      <w:r w:rsidR="006643BC" w:rsidRPr="00E118F2">
        <w:rPr>
          <w:szCs w:val="28"/>
        </w:rPr>
        <w:t>04</w:t>
      </w:r>
      <w:r w:rsidR="0001375B" w:rsidRPr="00E118F2">
        <w:rPr>
          <w:szCs w:val="28"/>
        </w:rPr>
        <w:t>.1</w:t>
      </w:r>
      <w:r w:rsidR="006643BC" w:rsidRPr="00E118F2">
        <w:rPr>
          <w:szCs w:val="28"/>
        </w:rPr>
        <w:t>2</w:t>
      </w:r>
      <w:r w:rsidR="007B4F71" w:rsidRPr="00E118F2">
        <w:rPr>
          <w:szCs w:val="28"/>
        </w:rPr>
        <w:t>.</w:t>
      </w:r>
      <w:r w:rsidR="00082713" w:rsidRPr="00E118F2">
        <w:rPr>
          <w:szCs w:val="28"/>
        </w:rPr>
        <w:t>20</w:t>
      </w:r>
      <w:r w:rsidR="00342E3F" w:rsidRPr="00E118F2">
        <w:rPr>
          <w:szCs w:val="28"/>
        </w:rPr>
        <w:t>2</w:t>
      </w:r>
      <w:r w:rsidR="006643BC" w:rsidRPr="00E118F2">
        <w:rPr>
          <w:szCs w:val="28"/>
        </w:rPr>
        <w:t>5</w:t>
      </w:r>
      <w:r w:rsidR="00C44E15" w:rsidRPr="00E118F2">
        <w:rPr>
          <w:szCs w:val="28"/>
        </w:rPr>
        <w:t xml:space="preserve"> р.</w:t>
      </w:r>
      <w:r w:rsidR="007B4F71" w:rsidRPr="00E118F2">
        <w:rPr>
          <w:szCs w:val="28"/>
        </w:rPr>
        <w:t xml:space="preserve"> </w:t>
      </w:r>
      <w:r w:rsidR="00082713" w:rsidRPr="00E118F2">
        <w:rPr>
          <w:szCs w:val="28"/>
        </w:rPr>
        <w:t>«</w:t>
      </w:r>
      <w:r w:rsidR="006643BC" w:rsidRPr="00E118F2">
        <w:rPr>
          <w:szCs w:val="28"/>
        </w:rPr>
        <w:t>Про організацію та проведення зимової екзаменаційної сесії 2025-2026 н.р. в дистанційному режимі</w:t>
      </w:r>
      <w:r w:rsidR="00082713" w:rsidRPr="00E118F2">
        <w:rPr>
          <w:szCs w:val="28"/>
        </w:rPr>
        <w:t>»</w:t>
      </w:r>
      <w:r w:rsidR="00233C94" w:rsidRPr="00E118F2">
        <w:rPr>
          <w:szCs w:val="28"/>
        </w:rPr>
        <w:t xml:space="preserve">. </w:t>
      </w:r>
    </w:p>
    <w:p w:rsidR="00535C16" w:rsidRPr="00E118F2" w:rsidRDefault="0001375B" w:rsidP="006643BC">
      <w:pPr>
        <w:widowControl w:val="0"/>
        <w:ind w:firstLine="720"/>
        <w:jc w:val="both"/>
        <w:rPr>
          <w:sz w:val="28"/>
          <w:szCs w:val="28"/>
          <w:lang w:val="uk-UA"/>
        </w:rPr>
      </w:pPr>
      <w:r w:rsidRPr="00E118F2">
        <w:rPr>
          <w:sz w:val="28"/>
          <w:szCs w:val="28"/>
          <w:lang w:val="uk-UA"/>
        </w:rPr>
        <w:t>Зимова</w:t>
      </w:r>
      <w:r w:rsidR="00082713" w:rsidRPr="00E118F2">
        <w:rPr>
          <w:sz w:val="28"/>
          <w:szCs w:val="28"/>
          <w:lang w:val="uk-UA"/>
        </w:rPr>
        <w:t xml:space="preserve"> екзаменаційна сесія проводилась в умовах </w:t>
      </w:r>
      <w:r w:rsidR="000E17AC" w:rsidRPr="00E118F2">
        <w:rPr>
          <w:sz w:val="28"/>
          <w:szCs w:val="28"/>
          <w:lang w:val="uk-UA"/>
        </w:rPr>
        <w:t>військового стану</w:t>
      </w:r>
      <w:r w:rsidR="00082713" w:rsidRPr="00E118F2">
        <w:rPr>
          <w:sz w:val="28"/>
          <w:szCs w:val="28"/>
          <w:lang w:val="uk-UA"/>
        </w:rPr>
        <w:t xml:space="preserve">. </w:t>
      </w:r>
      <w:r w:rsidR="00535C16" w:rsidRPr="00E118F2">
        <w:rPr>
          <w:sz w:val="28"/>
          <w:szCs w:val="28"/>
          <w:lang w:val="uk-UA"/>
        </w:rPr>
        <w:t xml:space="preserve">Представниками адміністрації </w:t>
      </w:r>
      <w:r w:rsidR="002A3CBC" w:rsidRPr="00E118F2">
        <w:rPr>
          <w:sz w:val="28"/>
          <w:szCs w:val="28"/>
          <w:lang w:val="uk-UA"/>
        </w:rPr>
        <w:t xml:space="preserve">інститутів </w:t>
      </w:r>
      <w:r w:rsidR="00535C16" w:rsidRPr="00E118F2">
        <w:rPr>
          <w:sz w:val="28"/>
          <w:szCs w:val="28"/>
          <w:lang w:val="uk-UA"/>
        </w:rPr>
        <w:t xml:space="preserve">та навчального відділу було проведено всі необхідні заходи для організації </w:t>
      </w:r>
      <w:r w:rsidR="002A3CBC" w:rsidRPr="00E118F2">
        <w:rPr>
          <w:sz w:val="28"/>
          <w:szCs w:val="28"/>
          <w:lang w:val="uk-UA"/>
        </w:rPr>
        <w:t>сесії: складено розклади</w:t>
      </w:r>
      <w:r w:rsidR="00082713" w:rsidRPr="00E118F2">
        <w:rPr>
          <w:sz w:val="28"/>
          <w:szCs w:val="28"/>
          <w:lang w:val="uk-UA"/>
        </w:rPr>
        <w:t xml:space="preserve"> та розміщено на Віртуальній аудиторії КПУ</w:t>
      </w:r>
      <w:r w:rsidR="002A3CBC" w:rsidRPr="00E118F2">
        <w:rPr>
          <w:sz w:val="28"/>
          <w:szCs w:val="28"/>
          <w:lang w:val="uk-UA"/>
        </w:rPr>
        <w:t xml:space="preserve">, підготовлено екзаменаційні документи, </w:t>
      </w:r>
      <w:r w:rsidR="00E118F2" w:rsidRPr="00E118F2">
        <w:rPr>
          <w:sz w:val="28"/>
          <w:szCs w:val="28"/>
          <w:lang w:val="uk-UA"/>
        </w:rPr>
        <w:t>проінформовано</w:t>
      </w:r>
      <w:r w:rsidR="00082713" w:rsidRPr="00E118F2">
        <w:rPr>
          <w:sz w:val="28"/>
          <w:szCs w:val="28"/>
          <w:lang w:val="uk-UA"/>
        </w:rPr>
        <w:t xml:space="preserve"> </w:t>
      </w:r>
      <w:r w:rsidR="0011579A" w:rsidRPr="00E118F2">
        <w:rPr>
          <w:sz w:val="28"/>
          <w:szCs w:val="28"/>
          <w:lang w:val="uk-UA"/>
        </w:rPr>
        <w:t>здобувачів вищої освіти</w:t>
      </w:r>
      <w:r w:rsidR="00082713" w:rsidRPr="00E118F2">
        <w:rPr>
          <w:sz w:val="28"/>
          <w:szCs w:val="28"/>
          <w:lang w:val="uk-UA"/>
        </w:rPr>
        <w:t xml:space="preserve"> про загальні засади академічної доброчесності та систему запобігання академічного плагіату відповідно до «Положення про академічну доброчесність в Класичному приватному університеті», </w:t>
      </w:r>
      <w:r w:rsidR="002A3CBC" w:rsidRPr="00E118F2">
        <w:rPr>
          <w:sz w:val="28"/>
          <w:szCs w:val="28"/>
          <w:lang w:val="uk-UA"/>
        </w:rPr>
        <w:t>забезпечувався контроль проведення екзаменів</w:t>
      </w:r>
      <w:r w:rsidR="00535C16" w:rsidRPr="00E118F2">
        <w:rPr>
          <w:sz w:val="28"/>
          <w:szCs w:val="28"/>
          <w:lang w:val="uk-UA"/>
        </w:rPr>
        <w:t>.</w:t>
      </w:r>
    </w:p>
    <w:p w:rsidR="00535C16" w:rsidRPr="00E118F2" w:rsidRDefault="00B4732A" w:rsidP="00082713">
      <w:pPr>
        <w:ind w:firstLine="709"/>
        <w:jc w:val="both"/>
        <w:rPr>
          <w:sz w:val="28"/>
          <w:szCs w:val="28"/>
          <w:lang w:val="uk-UA"/>
        </w:rPr>
      </w:pPr>
      <w:r w:rsidRPr="00E118F2">
        <w:rPr>
          <w:sz w:val="28"/>
          <w:szCs w:val="28"/>
          <w:lang w:val="uk-UA"/>
        </w:rPr>
        <w:t>Аналіз результатів сесії дає підстави зазначити таке.</w:t>
      </w:r>
    </w:p>
    <w:p w:rsidR="004935F8" w:rsidRPr="00E118F2" w:rsidRDefault="00B4732A" w:rsidP="00082713">
      <w:pPr>
        <w:pStyle w:val="a4"/>
        <w:ind w:firstLine="720"/>
        <w:jc w:val="both"/>
        <w:rPr>
          <w:b/>
        </w:rPr>
      </w:pPr>
      <w:r w:rsidRPr="00E118F2">
        <w:rPr>
          <w:b/>
        </w:rPr>
        <w:t>1.</w:t>
      </w:r>
      <w:r w:rsidR="006A39EF" w:rsidRPr="00E118F2">
        <w:rPr>
          <w:b/>
        </w:rPr>
        <w:t xml:space="preserve"> </w:t>
      </w:r>
      <w:r w:rsidR="003F1AAE" w:rsidRPr="00E118F2">
        <w:rPr>
          <w:b/>
        </w:rPr>
        <w:t xml:space="preserve">В </w:t>
      </w:r>
      <w:r w:rsidR="00C26230" w:rsidRPr="00E118F2">
        <w:rPr>
          <w:b/>
        </w:rPr>
        <w:t>Класичному</w:t>
      </w:r>
      <w:r w:rsidR="004935F8" w:rsidRPr="00E118F2">
        <w:rPr>
          <w:b/>
        </w:rPr>
        <w:t xml:space="preserve"> приватному університеті </w:t>
      </w:r>
      <w:r w:rsidR="006D1372" w:rsidRPr="00E118F2">
        <w:rPr>
          <w:b/>
        </w:rPr>
        <w:t xml:space="preserve">на момент перевірки </w:t>
      </w:r>
      <w:r w:rsidR="00342E3F" w:rsidRPr="00E118F2">
        <w:rPr>
          <w:b/>
        </w:rPr>
        <w:t>зимову</w:t>
      </w:r>
      <w:r w:rsidR="00B10AD2" w:rsidRPr="00E118F2">
        <w:rPr>
          <w:b/>
        </w:rPr>
        <w:t xml:space="preserve"> заліково-екзаменаційну </w:t>
      </w:r>
      <w:r w:rsidR="003C2C0C" w:rsidRPr="00E118F2">
        <w:rPr>
          <w:b/>
        </w:rPr>
        <w:t>сесію складали</w:t>
      </w:r>
      <w:r w:rsidR="004935F8" w:rsidRPr="00E118F2">
        <w:rPr>
          <w:b/>
        </w:rPr>
        <w:t>:</w:t>
      </w:r>
    </w:p>
    <w:p w:rsidR="00B10AD2" w:rsidRPr="00E118F2" w:rsidRDefault="004935F8" w:rsidP="00082713">
      <w:pPr>
        <w:pStyle w:val="a4"/>
        <w:ind w:firstLine="720"/>
        <w:jc w:val="both"/>
      </w:pPr>
      <w:r w:rsidRPr="00E118F2">
        <w:t xml:space="preserve">на </w:t>
      </w:r>
      <w:r w:rsidRPr="00E118F2">
        <w:rPr>
          <w:b/>
        </w:rPr>
        <w:t>денній</w:t>
      </w:r>
      <w:r w:rsidRPr="00E118F2">
        <w:t xml:space="preserve"> формі </w:t>
      </w:r>
      <w:r w:rsidR="00ED3943" w:rsidRPr="00E118F2">
        <w:t>–</w:t>
      </w:r>
      <w:r w:rsidR="00DD7551" w:rsidRPr="00E118F2">
        <w:t xml:space="preserve"> </w:t>
      </w:r>
      <w:r w:rsidR="006643BC" w:rsidRPr="00E118F2">
        <w:rPr>
          <w:b/>
        </w:rPr>
        <w:t>2013</w:t>
      </w:r>
      <w:r w:rsidR="00DD7551" w:rsidRPr="00E118F2">
        <w:rPr>
          <w:b/>
        </w:rPr>
        <w:t xml:space="preserve"> </w:t>
      </w:r>
      <w:r w:rsidR="0001375B" w:rsidRPr="00E118F2">
        <w:t>здобувач</w:t>
      </w:r>
      <w:r w:rsidR="006643BC" w:rsidRPr="00E118F2">
        <w:t>ів</w:t>
      </w:r>
      <w:r w:rsidR="0001375B" w:rsidRPr="00E118F2">
        <w:t xml:space="preserve"> вищої освіти</w:t>
      </w:r>
      <w:r w:rsidR="003C2C0C" w:rsidRPr="00E118F2">
        <w:t>.</w:t>
      </w:r>
    </w:p>
    <w:p w:rsidR="0001375B" w:rsidRPr="00E118F2" w:rsidRDefault="004935F8" w:rsidP="00082713">
      <w:pPr>
        <w:pStyle w:val="a4"/>
        <w:ind w:firstLine="720"/>
        <w:jc w:val="both"/>
      </w:pPr>
      <w:r w:rsidRPr="00E118F2">
        <w:t xml:space="preserve">на </w:t>
      </w:r>
      <w:r w:rsidRPr="00E118F2">
        <w:rPr>
          <w:b/>
        </w:rPr>
        <w:t>за</w:t>
      </w:r>
      <w:r w:rsidR="00B876BE" w:rsidRPr="00E118F2">
        <w:rPr>
          <w:b/>
        </w:rPr>
        <w:t>о</w:t>
      </w:r>
      <w:r w:rsidRPr="00E118F2">
        <w:rPr>
          <w:b/>
        </w:rPr>
        <w:t>чній</w:t>
      </w:r>
      <w:r w:rsidRPr="00E118F2">
        <w:t xml:space="preserve"> формі </w:t>
      </w:r>
      <w:r w:rsidR="00ED3943" w:rsidRPr="00E118F2">
        <w:t>–</w:t>
      </w:r>
      <w:r w:rsidR="00DD7551" w:rsidRPr="00E118F2">
        <w:t xml:space="preserve"> </w:t>
      </w:r>
      <w:r w:rsidR="006643BC" w:rsidRPr="00E118F2">
        <w:rPr>
          <w:b/>
        </w:rPr>
        <w:t>921</w:t>
      </w:r>
      <w:r w:rsidR="00DD7551" w:rsidRPr="00E118F2">
        <w:t xml:space="preserve"> </w:t>
      </w:r>
      <w:r w:rsidR="0001375B" w:rsidRPr="00E118F2">
        <w:t>здобувач вищої освіти</w:t>
      </w:r>
      <w:r w:rsidR="00B876BE" w:rsidRPr="00E118F2">
        <w:t>.</w:t>
      </w:r>
      <w:r w:rsidR="00405546" w:rsidRPr="00E118F2">
        <w:t xml:space="preserve"> </w:t>
      </w:r>
    </w:p>
    <w:p w:rsidR="00B10AD2" w:rsidRPr="00E118F2" w:rsidRDefault="00405546" w:rsidP="00082713">
      <w:pPr>
        <w:pStyle w:val="a4"/>
        <w:ind w:firstLine="720"/>
        <w:jc w:val="both"/>
      </w:pPr>
      <w:r w:rsidRPr="00E118F2">
        <w:rPr>
          <w:b/>
        </w:rPr>
        <w:t>Всього</w:t>
      </w:r>
      <w:r w:rsidRPr="00E118F2">
        <w:t xml:space="preserve"> –</w:t>
      </w:r>
      <w:r w:rsidR="00A90BDC" w:rsidRPr="00E118F2">
        <w:t xml:space="preserve"> </w:t>
      </w:r>
      <w:r w:rsidR="006643BC" w:rsidRPr="00E118F2">
        <w:rPr>
          <w:b/>
        </w:rPr>
        <w:t>2934</w:t>
      </w:r>
      <w:r w:rsidR="00DD7551" w:rsidRPr="00E118F2">
        <w:rPr>
          <w:b/>
        </w:rPr>
        <w:t xml:space="preserve"> </w:t>
      </w:r>
      <w:r w:rsidR="0001375B" w:rsidRPr="00E118F2">
        <w:t>здобувач</w:t>
      </w:r>
      <w:r w:rsidR="00685379" w:rsidRPr="00E118F2">
        <w:t>а</w:t>
      </w:r>
      <w:r w:rsidR="002A3CBC" w:rsidRPr="00E118F2">
        <w:t>.</w:t>
      </w:r>
    </w:p>
    <w:p w:rsidR="002A3CBC" w:rsidRPr="00E118F2" w:rsidRDefault="002A3CBC" w:rsidP="00082713">
      <w:pPr>
        <w:pStyle w:val="a4"/>
        <w:ind w:firstLine="720"/>
        <w:jc w:val="both"/>
      </w:pPr>
      <w:r w:rsidRPr="00E118F2">
        <w:t>Розподіл студентів за інститутами наведено на діаграмі.</w:t>
      </w:r>
    </w:p>
    <w:p w:rsidR="005D7378" w:rsidRPr="00E118F2" w:rsidRDefault="005D7378" w:rsidP="00082713">
      <w:pPr>
        <w:pStyle w:val="a4"/>
        <w:ind w:firstLine="720"/>
        <w:jc w:val="both"/>
        <w:rPr>
          <w:sz w:val="6"/>
        </w:rPr>
      </w:pPr>
    </w:p>
    <w:p w:rsidR="0064601E" w:rsidRPr="00E118F2" w:rsidRDefault="006643BC" w:rsidP="00E628E6">
      <w:pPr>
        <w:pStyle w:val="a4"/>
        <w:jc w:val="center"/>
      </w:pPr>
      <w:r w:rsidRPr="00E118F2">
        <w:rPr>
          <w:noProof/>
          <w:lang w:eastAsia="uk-UA"/>
        </w:rPr>
        <w:drawing>
          <wp:inline distT="0" distB="0" distL="0" distR="0" wp14:anchorId="3C69EEBD" wp14:editId="46F8A4E6">
            <wp:extent cx="6120765" cy="2063839"/>
            <wp:effectExtent l="0" t="0" r="13335"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4601E" w:rsidRPr="00E118F2" w:rsidRDefault="0064601E" w:rsidP="00082713">
      <w:pPr>
        <w:pStyle w:val="a4"/>
        <w:ind w:firstLine="720"/>
        <w:jc w:val="both"/>
      </w:pPr>
    </w:p>
    <w:p w:rsidR="009B30A1" w:rsidRPr="00E118F2" w:rsidRDefault="006643BC" w:rsidP="00E628E6">
      <w:pPr>
        <w:pStyle w:val="a4"/>
        <w:jc w:val="center"/>
      </w:pPr>
      <w:r w:rsidRPr="00E118F2">
        <w:rPr>
          <w:noProof/>
          <w:lang w:eastAsia="uk-UA"/>
        </w:rPr>
        <w:drawing>
          <wp:inline distT="0" distB="0" distL="0" distR="0" wp14:anchorId="4BDAD608" wp14:editId="2551DFE1">
            <wp:extent cx="6120765" cy="2243880"/>
            <wp:effectExtent l="0" t="0" r="13335" b="234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E4543" w:rsidRPr="00E118F2" w:rsidRDefault="006643BC" w:rsidP="009B30A1">
      <w:pPr>
        <w:pStyle w:val="a4"/>
        <w:jc w:val="center"/>
      </w:pPr>
      <w:r w:rsidRPr="00E118F2">
        <w:rPr>
          <w:noProof/>
          <w:lang w:eastAsia="uk-UA"/>
        </w:rPr>
        <w:lastRenderedPageBreak/>
        <w:drawing>
          <wp:inline distT="0" distB="0" distL="0" distR="0" wp14:anchorId="51066E97" wp14:editId="7ECD6501">
            <wp:extent cx="6120765" cy="3120712"/>
            <wp:effectExtent l="0" t="0" r="13335" b="228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579A" w:rsidRPr="00E118F2" w:rsidRDefault="0011579A" w:rsidP="009B30A1">
      <w:pPr>
        <w:pStyle w:val="a4"/>
        <w:jc w:val="center"/>
      </w:pPr>
    </w:p>
    <w:p w:rsidR="007C34A5" w:rsidRPr="00E118F2" w:rsidRDefault="006643BC" w:rsidP="001F2E33">
      <w:pPr>
        <w:jc w:val="both"/>
        <w:rPr>
          <w:b/>
          <w:i/>
          <w:sz w:val="28"/>
          <w:lang w:val="uk-UA"/>
        </w:rPr>
      </w:pPr>
      <w:r w:rsidRPr="00E118F2">
        <w:rPr>
          <w:noProof/>
          <w:lang w:val="uk-UA" w:eastAsia="uk-UA"/>
        </w:rPr>
        <w:drawing>
          <wp:inline distT="0" distB="0" distL="0" distR="0" wp14:anchorId="28A8C283" wp14:editId="6D3AEBB0">
            <wp:extent cx="6127667" cy="3194462"/>
            <wp:effectExtent l="0" t="0" r="26035" b="254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2E33" w:rsidRPr="00E118F2" w:rsidRDefault="001F2E33" w:rsidP="001F2E33">
      <w:pPr>
        <w:jc w:val="both"/>
        <w:rPr>
          <w:b/>
          <w:i/>
          <w:sz w:val="28"/>
          <w:lang w:val="uk-UA"/>
        </w:rPr>
      </w:pPr>
    </w:p>
    <w:p w:rsidR="00A90BDC" w:rsidRPr="00E118F2" w:rsidRDefault="00A90BDC" w:rsidP="001F2E33">
      <w:pPr>
        <w:jc w:val="both"/>
        <w:rPr>
          <w:b/>
          <w:i/>
          <w:sz w:val="28"/>
          <w:lang w:val="uk-UA"/>
        </w:rPr>
      </w:pPr>
    </w:p>
    <w:p w:rsidR="00161BCC" w:rsidRPr="00E118F2" w:rsidRDefault="00161BCC" w:rsidP="002E5232">
      <w:pPr>
        <w:ind w:firstLine="709"/>
        <w:jc w:val="both"/>
        <w:rPr>
          <w:b/>
          <w:i/>
          <w:sz w:val="28"/>
          <w:lang w:val="uk-UA"/>
        </w:rPr>
      </w:pPr>
    </w:p>
    <w:p w:rsidR="000C2D48" w:rsidRPr="00E118F2" w:rsidRDefault="000C2D48" w:rsidP="002E5232">
      <w:pPr>
        <w:ind w:firstLine="709"/>
        <w:jc w:val="both"/>
        <w:rPr>
          <w:b/>
          <w:i/>
          <w:sz w:val="28"/>
          <w:lang w:val="uk-UA"/>
        </w:rPr>
      </w:pPr>
    </w:p>
    <w:p w:rsidR="00394A97" w:rsidRPr="00E118F2" w:rsidRDefault="00394A97">
      <w:pPr>
        <w:rPr>
          <w:b/>
          <w:i/>
          <w:sz w:val="28"/>
          <w:lang w:val="uk-UA"/>
        </w:rPr>
      </w:pPr>
      <w:r w:rsidRPr="00E118F2">
        <w:rPr>
          <w:b/>
          <w:i/>
          <w:sz w:val="28"/>
          <w:lang w:val="uk-UA"/>
        </w:rPr>
        <w:br w:type="page"/>
      </w:r>
    </w:p>
    <w:p w:rsidR="00D52578" w:rsidRPr="00E118F2" w:rsidRDefault="00D52578" w:rsidP="002E5232">
      <w:pPr>
        <w:ind w:firstLine="709"/>
        <w:jc w:val="both"/>
        <w:rPr>
          <w:b/>
          <w:i/>
          <w:sz w:val="28"/>
          <w:lang w:val="uk-UA"/>
        </w:rPr>
      </w:pPr>
      <w:r w:rsidRPr="00E118F2">
        <w:rPr>
          <w:b/>
          <w:i/>
          <w:sz w:val="28"/>
          <w:lang w:val="uk-UA"/>
        </w:rPr>
        <w:lastRenderedPageBreak/>
        <w:t>Дозвольте зупинитись на  р</w:t>
      </w:r>
      <w:r w:rsidR="00C20DE2" w:rsidRPr="00E118F2">
        <w:rPr>
          <w:b/>
          <w:i/>
          <w:sz w:val="28"/>
          <w:lang w:val="uk-UA"/>
        </w:rPr>
        <w:t>езультат</w:t>
      </w:r>
      <w:r w:rsidRPr="00E118F2">
        <w:rPr>
          <w:b/>
          <w:i/>
          <w:sz w:val="28"/>
          <w:lang w:val="uk-UA"/>
        </w:rPr>
        <w:t xml:space="preserve">ивних показниках </w:t>
      </w:r>
      <w:r w:rsidR="00C20DE2" w:rsidRPr="00E118F2">
        <w:rPr>
          <w:b/>
          <w:i/>
          <w:sz w:val="28"/>
          <w:lang w:val="uk-UA"/>
        </w:rPr>
        <w:t>сесії</w:t>
      </w:r>
      <w:r w:rsidR="006A39EF" w:rsidRPr="00E118F2">
        <w:rPr>
          <w:b/>
          <w:i/>
          <w:sz w:val="28"/>
          <w:lang w:val="uk-UA"/>
        </w:rPr>
        <w:t xml:space="preserve">. </w:t>
      </w:r>
    </w:p>
    <w:p w:rsidR="00C909A6" w:rsidRPr="00E118F2" w:rsidRDefault="00C909A6" w:rsidP="002E5232">
      <w:pPr>
        <w:ind w:firstLine="709"/>
        <w:jc w:val="both"/>
        <w:rPr>
          <w:b/>
          <w:sz w:val="28"/>
          <w:lang w:val="uk-UA"/>
        </w:rPr>
      </w:pPr>
    </w:p>
    <w:p w:rsidR="00B15D36" w:rsidRDefault="00D52578" w:rsidP="00B40FAA">
      <w:pPr>
        <w:widowControl w:val="0"/>
        <w:ind w:firstLine="709"/>
        <w:jc w:val="both"/>
        <w:rPr>
          <w:b/>
          <w:sz w:val="28"/>
          <w:lang w:val="uk-UA"/>
        </w:rPr>
      </w:pPr>
      <w:r w:rsidRPr="00E118F2">
        <w:rPr>
          <w:b/>
          <w:sz w:val="28"/>
          <w:lang w:val="uk-UA"/>
        </w:rPr>
        <w:t xml:space="preserve">2. </w:t>
      </w:r>
      <w:r w:rsidR="00B4732A" w:rsidRPr="00E118F2">
        <w:rPr>
          <w:b/>
          <w:sz w:val="28"/>
          <w:u w:val="single"/>
          <w:lang w:val="uk-UA"/>
        </w:rPr>
        <w:t>Абсолютна успішність</w:t>
      </w:r>
      <w:r w:rsidR="00B4732A" w:rsidRPr="00E118F2">
        <w:rPr>
          <w:b/>
          <w:sz w:val="28"/>
          <w:lang w:val="uk-UA"/>
        </w:rPr>
        <w:t xml:space="preserve"> (без „2”, FX,  F) </w:t>
      </w:r>
    </w:p>
    <w:p w:rsidR="00B40FAA" w:rsidRPr="00E118F2" w:rsidRDefault="00B40FAA" w:rsidP="00B40FAA">
      <w:pPr>
        <w:widowControl w:val="0"/>
        <w:ind w:firstLine="709"/>
        <w:jc w:val="both"/>
        <w:rPr>
          <w:sz w:val="28"/>
          <w:lang w:val="uk-UA"/>
        </w:rPr>
      </w:pPr>
      <w:r w:rsidRPr="00E118F2">
        <w:rPr>
          <w:sz w:val="28"/>
          <w:lang w:val="uk-UA"/>
        </w:rPr>
        <w:t>Цей показник, який розраховується без урахування незадовільних оцінок та нескладених іспитів, впевнено перевищує базовий акредитаційний норматив Міністерства освіти і науки. Якщо порівнювати з минулим роком, маємо позитивну динаміку: тоді абсолютна успішність складала 95,4%. Практично всі інститути демонструють стабільний результат і тримають планку понад 90%.</w:t>
      </w:r>
    </w:p>
    <w:p w:rsidR="00474CD1" w:rsidRDefault="00474CD1" w:rsidP="00B40FAA">
      <w:pPr>
        <w:widowControl w:val="0"/>
        <w:jc w:val="both"/>
        <w:rPr>
          <w:sz w:val="28"/>
          <w:lang w:val="uk-UA"/>
        </w:rPr>
      </w:pPr>
      <w:r>
        <w:rPr>
          <w:sz w:val="28"/>
          <w:lang w:val="uk-UA"/>
        </w:rPr>
        <w:t>Р</w:t>
      </w:r>
      <w:r w:rsidRPr="00474CD1">
        <w:rPr>
          <w:sz w:val="28"/>
          <w:lang w:val="uk-UA"/>
        </w:rPr>
        <w:t>азом з тим, певної методичної уваги потребує організація роботи зі студентами-заочниками в Інституті управління, де показник зафіксовано на рівні 87,5%. Це вказує не на системний збій, а на необхідність посилення індивідуальної комунікації зі студентами, які поєднують навчання з роботою, для оперативного закриття боргів.</w:t>
      </w:r>
    </w:p>
    <w:p w:rsidR="00F23440" w:rsidRPr="00E118F2" w:rsidRDefault="00F23440" w:rsidP="00B40FAA">
      <w:pPr>
        <w:widowControl w:val="0"/>
        <w:jc w:val="both"/>
        <w:rPr>
          <w:sz w:val="28"/>
          <w:lang w:val="uk-UA"/>
        </w:rPr>
      </w:pPr>
      <w:r w:rsidRPr="00E118F2">
        <w:rPr>
          <w:noProof/>
          <w:lang w:val="uk-UA" w:eastAsia="uk-UA"/>
        </w:rPr>
        <w:drawing>
          <wp:inline distT="0" distB="0" distL="0" distR="0" wp14:anchorId="08709F73" wp14:editId="63A1B074">
            <wp:extent cx="6120765" cy="2677242"/>
            <wp:effectExtent l="0" t="0" r="13335" b="279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3440" w:rsidRPr="00E118F2" w:rsidRDefault="00F23440" w:rsidP="00B40FAA">
      <w:pPr>
        <w:widowControl w:val="0"/>
        <w:jc w:val="center"/>
        <w:rPr>
          <w:sz w:val="28"/>
          <w:lang w:val="uk-UA"/>
        </w:rPr>
      </w:pPr>
    </w:p>
    <w:p w:rsidR="00D63425" w:rsidRDefault="00D63425" w:rsidP="00B40FAA">
      <w:pPr>
        <w:widowControl w:val="0"/>
        <w:ind w:firstLine="720"/>
        <w:jc w:val="both"/>
        <w:rPr>
          <w:b/>
          <w:sz w:val="28"/>
          <w:szCs w:val="28"/>
          <w:lang w:val="uk-UA"/>
        </w:rPr>
      </w:pPr>
      <w:r w:rsidRPr="00E118F2">
        <w:rPr>
          <w:b/>
          <w:sz w:val="28"/>
          <w:szCs w:val="28"/>
          <w:lang w:val="uk-UA"/>
        </w:rPr>
        <w:t xml:space="preserve">3. </w:t>
      </w:r>
      <w:r w:rsidR="00EB7B84" w:rsidRPr="00E118F2">
        <w:rPr>
          <w:b/>
          <w:sz w:val="28"/>
          <w:szCs w:val="28"/>
          <w:u w:val="single"/>
          <w:lang w:val="uk-UA"/>
        </w:rPr>
        <w:t>Показник якості</w:t>
      </w:r>
      <w:r w:rsidR="00EB7B84" w:rsidRPr="00E118F2">
        <w:rPr>
          <w:b/>
          <w:sz w:val="28"/>
          <w:szCs w:val="28"/>
          <w:lang w:val="uk-UA"/>
        </w:rPr>
        <w:t xml:space="preserve"> </w:t>
      </w:r>
      <w:r w:rsidR="00B15D36" w:rsidRPr="00E118F2">
        <w:rPr>
          <w:b/>
          <w:sz w:val="28"/>
          <w:lang w:val="uk-UA"/>
        </w:rPr>
        <w:t>(„</w:t>
      </w:r>
      <w:r w:rsidR="00B15D36">
        <w:rPr>
          <w:b/>
          <w:sz w:val="28"/>
          <w:lang w:val="uk-UA"/>
        </w:rPr>
        <w:t>5</w:t>
      </w:r>
      <w:r w:rsidR="00B15D36" w:rsidRPr="00E118F2">
        <w:rPr>
          <w:b/>
          <w:sz w:val="28"/>
          <w:lang w:val="uk-UA"/>
        </w:rPr>
        <w:t>”</w:t>
      </w:r>
      <w:r w:rsidR="00B15D36">
        <w:rPr>
          <w:b/>
          <w:sz w:val="28"/>
          <w:lang w:val="uk-UA"/>
        </w:rPr>
        <w:t xml:space="preserve">, </w:t>
      </w:r>
      <w:r w:rsidR="00B15D36" w:rsidRPr="00E118F2">
        <w:rPr>
          <w:b/>
          <w:sz w:val="28"/>
          <w:lang w:val="uk-UA"/>
        </w:rPr>
        <w:t>„</w:t>
      </w:r>
      <w:r w:rsidR="00B15D36">
        <w:rPr>
          <w:b/>
          <w:sz w:val="28"/>
          <w:lang w:val="uk-UA"/>
        </w:rPr>
        <w:t>4</w:t>
      </w:r>
      <w:r w:rsidR="00B15D36" w:rsidRPr="00E118F2">
        <w:rPr>
          <w:b/>
          <w:sz w:val="28"/>
          <w:lang w:val="uk-UA"/>
        </w:rPr>
        <w:t xml:space="preserve">”, </w:t>
      </w:r>
      <w:r w:rsidR="00B15D36">
        <w:rPr>
          <w:b/>
          <w:sz w:val="28"/>
          <w:lang w:val="uk-UA"/>
        </w:rPr>
        <w:t>А, В, С</w:t>
      </w:r>
      <w:r w:rsidR="00B15D36" w:rsidRPr="00E118F2">
        <w:rPr>
          <w:b/>
          <w:sz w:val="28"/>
          <w:lang w:val="uk-UA"/>
        </w:rPr>
        <w:t>)</w:t>
      </w:r>
    </w:p>
    <w:p w:rsidR="00B40FAA" w:rsidRPr="00E118F2" w:rsidRDefault="00B40FAA" w:rsidP="00B40FAA">
      <w:pPr>
        <w:ind w:firstLine="709"/>
        <w:jc w:val="both"/>
        <w:rPr>
          <w:iCs/>
          <w:sz w:val="28"/>
          <w:szCs w:val="28"/>
          <w:lang w:val="uk-UA"/>
        </w:rPr>
      </w:pPr>
      <w:r w:rsidRPr="00E118F2">
        <w:rPr>
          <w:iCs/>
          <w:sz w:val="28"/>
          <w:szCs w:val="28"/>
          <w:lang w:val="uk-UA"/>
        </w:rPr>
        <w:t>Варто відзначити поступове зниження цього критерію протягом останніх років. Для порівняння: у 2023-2024 навчальному році він сягав 86,3%, а минулого року опустився до 76,6%.</w:t>
      </w:r>
    </w:p>
    <w:p w:rsidR="00B40FAA" w:rsidRPr="00E118F2" w:rsidRDefault="00B40FAA" w:rsidP="00B40FAA">
      <w:pPr>
        <w:ind w:firstLine="709"/>
        <w:jc w:val="both"/>
        <w:rPr>
          <w:iCs/>
          <w:sz w:val="28"/>
          <w:szCs w:val="28"/>
          <w:lang w:val="uk-UA"/>
        </w:rPr>
      </w:pPr>
      <w:r w:rsidRPr="00E118F2">
        <w:rPr>
          <w:iCs/>
          <w:sz w:val="28"/>
          <w:szCs w:val="28"/>
          <w:lang w:val="uk-UA"/>
        </w:rPr>
        <w:t xml:space="preserve">На денній формі середній показник якості дорівнює 67,3%. Найвищі результати демонструють ІЖМК (88%) та ІІФ (88%). </w:t>
      </w:r>
      <w:r w:rsidR="00B15D36">
        <w:rPr>
          <w:iCs/>
          <w:sz w:val="28"/>
          <w:szCs w:val="28"/>
          <w:lang w:val="uk-UA"/>
        </w:rPr>
        <w:t>Найнижчий показник</w:t>
      </w:r>
      <w:r w:rsidRPr="00E118F2">
        <w:rPr>
          <w:iCs/>
          <w:sz w:val="28"/>
          <w:szCs w:val="28"/>
          <w:lang w:val="uk-UA"/>
        </w:rPr>
        <w:t xml:space="preserve"> в ІУ, </w:t>
      </w:r>
      <w:r w:rsidR="00B15D36">
        <w:rPr>
          <w:iCs/>
          <w:sz w:val="28"/>
          <w:szCs w:val="28"/>
          <w:lang w:val="uk-UA"/>
        </w:rPr>
        <w:t>який</w:t>
      </w:r>
      <w:r w:rsidRPr="00E118F2">
        <w:rPr>
          <w:iCs/>
          <w:sz w:val="28"/>
          <w:szCs w:val="28"/>
          <w:lang w:val="uk-UA"/>
        </w:rPr>
        <w:t xml:space="preserve"> становить лише 51%.</w:t>
      </w:r>
    </w:p>
    <w:p w:rsidR="00B40FAA" w:rsidRPr="00E118F2" w:rsidRDefault="00B40FAA" w:rsidP="00B40FAA">
      <w:pPr>
        <w:ind w:firstLine="709"/>
        <w:jc w:val="both"/>
        <w:rPr>
          <w:iCs/>
          <w:sz w:val="28"/>
          <w:szCs w:val="28"/>
          <w:lang w:val="uk-UA"/>
        </w:rPr>
      </w:pPr>
      <w:r w:rsidRPr="00E118F2">
        <w:rPr>
          <w:iCs/>
          <w:sz w:val="28"/>
          <w:szCs w:val="28"/>
          <w:lang w:val="uk-UA"/>
        </w:rPr>
        <w:t>На заочній формі ситуація значно стабільніша, там середній показник якості склав 85,</w:t>
      </w:r>
      <w:r w:rsidR="00445FCE">
        <w:rPr>
          <w:iCs/>
          <w:sz w:val="28"/>
          <w:szCs w:val="28"/>
          <w:lang w:val="uk-UA"/>
        </w:rPr>
        <w:t>8</w:t>
      </w:r>
      <w:r w:rsidRPr="00E118F2">
        <w:rPr>
          <w:iCs/>
          <w:sz w:val="28"/>
          <w:szCs w:val="28"/>
          <w:lang w:val="uk-UA"/>
        </w:rPr>
        <w:t>%.</w:t>
      </w:r>
    </w:p>
    <w:p w:rsidR="00474CD1" w:rsidRDefault="00474CD1" w:rsidP="00697EE0">
      <w:pPr>
        <w:ind w:firstLine="720"/>
        <w:jc w:val="both"/>
        <w:rPr>
          <w:iCs/>
          <w:sz w:val="28"/>
          <w:szCs w:val="28"/>
          <w:lang w:val="uk-UA"/>
        </w:rPr>
      </w:pPr>
      <w:r w:rsidRPr="00474CD1">
        <w:rPr>
          <w:iCs/>
          <w:sz w:val="28"/>
          <w:szCs w:val="28"/>
          <w:lang w:val="uk-UA"/>
        </w:rPr>
        <w:t>Така ситуація може бути пов’язана зі складністю опанування окремих фахових дисциплін у дистанційному режимі. Випускаючим кафедрам рекомендовано провести внутрішній моніторинг та адаптувати навчальний матеріал для кращого засвоєння.</w:t>
      </w:r>
    </w:p>
    <w:p w:rsidR="00C909A6" w:rsidRPr="00E118F2" w:rsidRDefault="00C909A6" w:rsidP="00697EE0">
      <w:pPr>
        <w:ind w:firstLine="720"/>
        <w:jc w:val="both"/>
        <w:rPr>
          <w:b/>
          <w:sz w:val="28"/>
          <w:szCs w:val="28"/>
          <w:lang w:val="uk-UA"/>
        </w:rPr>
      </w:pPr>
      <w:r w:rsidRPr="00E118F2">
        <w:rPr>
          <w:b/>
          <w:sz w:val="28"/>
          <w:szCs w:val="28"/>
          <w:lang w:val="uk-UA"/>
        </w:rPr>
        <w:t xml:space="preserve">Взагалі, середній показник якості по університету </w:t>
      </w:r>
      <w:r w:rsidR="00763F26" w:rsidRPr="00E118F2">
        <w:rPr>
          <w:b/>
          <w:sz w:val="28"/>
          <w:szCs w:val="28"/>
          <w:lang w:val="uk-UA"/>
        </w:rPr>
        <w:t>–</w:t>
      </w:r>
      <w:r w:rsidRPr="00E118F2">
        <w:rPr>
          <w:b/>
          <w:sz w:val="28"/>
          <w:szCs w:val="28"/>
          <w:lang w:val="uk-UA"/>
        </w:rPr>
        <w:t xml:space="preserve"> </w:t>
      </w:r>
      <w:r w:rsidR="00355488" w:rsidRPr="00E118F2">
        <w:rPr>
          <w:b/>
          <w:sz w:val="28"/>
          <w:szCs w:val="28"/>
          <w:lang w:val="uk-UA"/>
        </w:rPr>
        <w:t>7</w:t>
      </w:r>
      <w:r w:rsidR="00445FCE">
        <w:rPr>
          <w:b/>
          <w:sz w:val="28"/>
          <w:szCs w:val="28"/>
          <w:lang w:val="uk-UA"/>
        </w:rPr>
        <w:t>3</w:t>
      </w:r>
      <w:r w:rsidR="00355488" w:rsidRPr="00E118F2">
        <w:rPr>
          <w:b/>
          <w:sz w:val="28"/>
          <w:szCs w:val="28"/>
          <w:lang w:val="uk-UA"/>
        </w:rPr>
        <w:t>,</w:t>
      </w:r>
      <w:r w:rsidR="00445FCE">
        <w:rPr>
          <w:b/>
          <w:sz w:val="28"/>
          <w:szCs w:val="28"/>
          <w:lang w:val="uk-UA"/>
        </w:rPr>
        <w:t>1</w:t>
      </w:r>
      <w:r w:rsidRPr="00E118F2">
        <w:rPr>
          <w:b/>
          <w:sz w:val="28"/>
          <w:szCs w:val="28"/>
          <w:lang w:val="uk-UA"/>
        </w:rPr>
        <w:t>%</w:t>
      </w:r>
    </w:p>
    <w:p w:rsidR="00A90BDC" w:rsidRPr="00E118F2" w:rsidRDefault="00F23440" w:rsidP="00B40FAA">
      <w:pPr>
        <w:jc w:val="both"/>
        <w:rPr>
          <w:b/>
          <w:sz w:val="28"/>
          <w:szCs w:val="28"/>
          <w:lang w:val="uk-UA"/>
        </w:rPr>
      </w:pPr>
      <w:r w:rsidRPr="00E118F2">
        <w:rPr>
          <w:noProof/>
          <w:lang w:val="uk-UA" w:eastAsia="uk-UA"/>
        </w:rPr>
        <w:lastRenderedPageBreak/>
        <w:drawing>
          <wp:inline distT="0" distB="0" distL="0" distR="0" wp14:anchorId="4CFB3C63" wp14:editId="5D489188">
            <wp:extent cx="6120765" cy="3207258"/>
            <wp:effectExtent l="0" t="0" r="13335" b="127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63F26" w:rsidRPr="00E118F2" w:rsidRDefault="00763F26" w:rsidP="00C909A6">
      <w:pPr>
        <w:pStyle w:val="a4"/>
        <w:jc w:val="both"/>
        <w:rPr>
          <w:szCs w:val="28"/>
        </w:rPr>
      </w:pPr>
    </w:p>
    <w:p w:rsidR="00701554" w:rsidRPr="00E118F2" w:rsidRDefault="00701554" w:rsidP="00C909A6">
      <w:pPr>
        <w:ind w:firstLine="709"/>
        <w:jc w:val="both"/>
        <w:rPr>
          <w:b/>
          <w:sz w:val="28"/>
          <w:u w:val="single"/>
          <w:lang w:val="uk-UA"/>
        </w:rPr>
      </w:pPr>
      <w:r w:rsidRPr="00E118F2">
        <w:rPr>
          <w:b/>
          <w:sz w:val="28"/>
          <w:lang w:val="uk-UA"/>
        </w:rPr>
        <w:t xml:space="preserve">4. Показники якості та абсолютної успішності залежать від </w:t>
      </w:r>
      <w:r w:rsidRPr="00E118F2">
        <w:rPr>
          <w:b/>
          <w:sz w:val="28"/>
          <w:u w:val="single"/>
          <w:lang w:val="uk-UA"/>
        </w:rPr>
        <w:t xml:space="preserve">кількості відмінників і </w:t>
      </w:r>
      <w:r w:rsidR="00355488" w:rsidRPr="00E118F2">
        <w:rPr>
          <w:b/>
          <w:sz w:val="28"/>
          <w:u w:val="single"/>
          <w:lang w:val="uk-UA"/>
        </w:rPr>
        <w:t>«</w:t>
      </w:r>
      <w:r w:rsidRPr="00E118F2">
        <w:rPr>
          <w:b/>
          <w:sz w:val="28"/>
          <w:u w:val="single"/>
          <w:lang w:val="uk-UA"/>
        </w:rPr>
        <w:t>проблемних студентів</w:t>
      </w:r>
      <w:r w:rsidR="00355488" w:rsidRPr="00E118F2">
        <w:rPr>
          <w:b/>
          <w:sz w:val="28"/>
          <w:u w:val="single"/>
          <w:lang w:val="uk-UA"/>
        </w:rPr>
        <w:t>»</w:t>
      </w:r>
      <w:r w:rsidRPr="00E118F2">
        <w:rPr>
          <w:b/>
          <w:sz w:val="28"/>
          <w:u w:val="single"/>
          <w:lang w:val="uk-UA"/>
        </w:rPr>
        <w:t>.</w:t>
      </w:r>
    </w:p>
    <w:p w:rsidR="00B15D36" w:rsidRDefault="00B15D36" w:rsidP="00C909A6">
      <w:pPr>
        <w:ind w:firstLine="709"/>
        <w:jc w:val="both"/>
        <w:rPr>
          <w:sz w:val="28"/>
          <w:lang w:val="uk-UA"/>
        </w:rPr>
      </w:pPr>
    </w:p>
    <w:p w:rsidR="00701554" w:rsidRPr="00E118F2" w:rsidRDefault="00280539" w:rsidP="00C909A6">
      <w:pPr>
        <w:ind w:firstLine="709"/>
        <w:jc w:val="both"/>
        <w:rPr>
          <w:sz w:val="28"/>
          <w:lang w:val="uk-UA"/>
        </w:rPr>
      </w:pPr>
      <w:r w:rsidRPr="00E118F2">
        <w:rPr>
          <w:sz w:val="28"/>
          <w:lang w:val="uk-UA"/>
        </w:rPr>
        <w:t>К</w:t>
      </w:r>
      <w:r w:rsidR="00701554" w:rsidRPr="00E118F2">
        <w:rPr>
          <w:b/>
          <w:sz w:val="28"/>
          <w:lang w:val="uk-UA"/>
        </w:rPr>
        <w:t>ількість відмінників</w:t>
      </w:r>
      <w:r w:rsidR="00701554" w:rsidRPr="00E118F2">
        <w:rPr>
          <w:sz w:val="28"/>
          <w:lang w:val="uk-UA"/>
        </w:rPr>
        <w:t xml:space="preserve"> в університеті </w:t>
      </w:r>
      <w:r w:rsidR="00193CBF" w:rsidRPr="00E118F2">
        <w:rPr>
          <w:sz w:val="28"/>
          <w:lang w:val="uk-UA"/>
        </w:rPr>
        <w:t xml:space="preserve">складає </w:t>
      </w:r>
      <w:r w:rsidR="00355488" w:rsidRPr="00E118F2">
        <w:rPr>
          <w:b/>
          <w:sz w:val="28"/>
          <w:lang w:val="uk-UA"/>
        </w:rPr>
        <w:t>1</w:t>
      </w:r>
      <w:r w:rsidR="00445FCE">
        <w:rPr>
          <w:b/>
          <w:sz w:val="28"/>
          <w:lang w:val="uk-UA"/>
        </w:rPr>
        <w:t>72</w:t>
      </w:r>
      <w:r w:rsidR="00193CBF" w:rsidRPr="00E118F2">
        <w:rPr>
          <w:b/>
          <w:sz w:val="28"/>
          <w:lang w:val="uk-UA"/>
        </w:rPr>
        <w:t xml:space="preserve"> </w:t>
      </w:r>
      <w:r w:rsidR="002C3047" w:rsidRPr="00E118F2">
        <w:rPr>
          <w:sz w:val="28"/>
          <w:lang w:val="uk-UA"/>
        </w:rPr>
        <w:t>ос</w:t>
      </w:r>
      <w:r w:rsidRPr="00E118F2">
        <w:rPr>
          <w:sz w:val="28"/>
          <w:lang w:val="uk-UA"/>
        </w:rPr>
        <w:t>о</w:t>
      </w:r>
      <w:r w:rsidR="00701554" w:rsidRPr="00E118F2">
        <w:rPr>
          <w:sz w:val="28"/>
          <w:lang w:val="uk-UA"/>
        </w:rPr>
        <w:t>б</w:t>
      </w:r>
      <w:r w:rsidRPr="00E118F2">
        <w:rPr>
          <w:sz w:val="28"/>
          <w:lang w:val="uk-UA"/>
        </w:rPr>
        <w:t>и</w:t>
      </w:r>
      <w:r w:rsidR="00D01A19" w:rsidRPr="00E118F2">
        <w:rPr>
          <w:sz w:val="28"/>
          <w:lang w:val="uk-UA"/>
        </w:rPr>
        <w:t xml:space="preserve"> (</w:t>
      </w:r>
      <w:r w:rsidRPr="00E118F2">
        <w:rPr>
          <w:sz w:val="28"/>
          <w:lang w:val="uk-UA"/>
        </w:rPr>
        <w:t>5</w:t>
      </w:r>
      <w:r w:rsidR="00355488" w:rsidRPr="00E118F2">
        <w:rPr>
          <w:sz w:val="28"/>
          <w:lang w:val="uk-UA"/>
        </w:rPr>
        <w:t>,</w:t>
      </w:r>
      <w:r w:rsidR="00445FCE">
        <w:rPr>
          <w:sz w:val="28"/>
          <w:lang w:val="uk-UA"/>
        </w:rPr>
        <w:t>9</w:t>
      </w:r>
      <w:r w:rsidR="00701554" w:rsidRPr="00E118F2">
        <w:rPr>
          <w:sz w:val="28"/>
          <w:lang w:val="uk-UA"/>
        </w:rPr>
        <w:t>%), у т.ч.:</w:t>
      </w:r>
    </w:p>
    <w:p w:rsidR="00701554" w:rsidRPr="00E118F2" w:rsidRDefault="00701554" w:rsidP="00C909A6">
      <w:pPr>
        <w:ind w:firstLine="709"/>
        <w:jc w:val="both"/>
        <w:rPr>
          <w:sz w:val="28"/>
          <w:lang w:val="uk-UA"/>
        </w:rPr>
      </w:pPr>
      <w:r w:rsidRPr="00E118F2">
        <w:rPr>
          <w:sz w:val="28"/>
          <w:lang w:val="uk-UA"/>
        </w:rPr>
        <w:t xml:space="preserve">на денній формі – </w:t>
      </w:r>
      <w:r w:rsidR="00280539" w:rsidRPr="00E118F2">
        <w:rPr>
          <w:b/>
          <w:sz w:val="28"/>
          <w:lang w:val="uk-UA"/>
        </w:rPr>
        <w:t>68</w:t>
      </w:r>
      <w:r w:rsidR="00E8226D" w:rsidRPr="00E118F2">
        <w:rPr>
          <w:b/>
          <w:sz w:val="28"/>
          <w:lang w:val="uk-UA"/>
        </w:rPr>
        <w:t xml:space="preserve"> </w:t>
      </w:r>
      <w:r w:rsidR="00A66C5E" w:rsidRPr="00E118F2">
        <w:rPr>
          <w:sz w:val="28"/>
          <w:lang w:val="uk-UA"/>
        </w:rPr>
        <w:t>здобувач</w:t>
      </w:r>
      <w:r w:rsidR="00355488" w:rsidRPr="00E118F2">
        <w:rPr>
          <w:sz w:val="28"/>
          <w:lang w:val="uk-UA"/>
        </w:rPr>
        <w:t>ів</w:t>
      </w:r>
      <w:r w:rsidRPr="00E118F2">
        <w:rPr>
          <w:sz w:val="28"/>
          <w:lang w:val="uk-UA"/>
        </w:rPr>
        <w:t xml:space="preserve"> (</w:t>
      </w:r>
      <w:r w:rsidR="00280539" w:rsidRPr="00E118F2">
        <w:rPr>
          <w:sz w:val="28"/>
          <w:lang w:val="uk-UA"/>
        </w:rPr>
        <w:t>3</w:t>
      </w:r>
      <w:r w:rsidR="00355488" w:rsidRPr="00E118F2">
        <w:rPr>
          <w:sz w:val="28"/>
          <w:lang w:val="uk-UA"/>
        </w:rPr>
        <w:t>,4</w:t>
      </w:r>
      <w:r w:rsidRPr="00E118F2">
        <w:rPr>
          <w:sz w:val="28"/>
          <w:lang w:val="uk-UA"/>
        </w:rPr>
        <w:t xml:space="preserve">%), </w:t>
      </w:r>
    </w:p>
    <w:p w:rsidR="00701554" w:rsidRPr="00E118F2" w:rsidRDefault="00D01A19" w:rsidP="00280539">
      <w:pPr>
        <w:ind w:firstLine="709"/>
        <w:jc w:val="both"/>
        <w:rPr>
          <w:sz w:val="28"/>
          <w:lang w:val="uk-UA"/>
        </w:rPr>
      </w:pPr>
      <w:r w:rsidRPr="00E118F2">
        <w:rPr>
          <w:sz w:val="28"/>
          <w:lang w:val="uk-UA"/>
        </w:rPr>
        <w:t xml:space="preserve">на заочній – </w:t>
      </w:r>
      <w:r w:rsidR="00445FCE">
        <w:rPr>
          <w:b/>
          <w:sz w:val="28"/>
          <w:lang w:val="uk-UA"/>
        </w:rPr>
        <w:t>104</w:t>
      </w:r>
      <w:r w:rsidR="00213CBF" w:rsidRPr="00E118F2">
        <w:rPr>
          <w:b/>
          <w:sz w:val="28"/>
          <w:lang w:val="uk-UA"/>
        </w:rPr>
        <w:t xml:space="preserve"> </w:t>
      </w:r>
      <w:r w:rsidR="00A66C5E" w:rsidRPr="00E118F2">
        <w:rPr>
          <w:sz w:val="28"/>
          <w:lang w:val="uk-UA"/>
        </w:rPr>
        <w:t>здобувач</w:t>
      </w:r>
      <w:r w:rsidR="00445FCE">
        <w:rPr>
          <w:sz w:val="28"/>
          <w:lang w:val="uk-UA"/>
        </w:rPr>
        <w:t>а</w:t>
      </w:r>
      <w:r w:rsidR="00701554" w:rsidRPr="00E118F2">
        <w:rPr>
          <w:sz w:val="28"/>
          <w:lang w:val="uk-UA"/>
        </w:rPr>
        <w:t xml:space="preserve"> (</w:t>
      </w:r>
      <w:r w:rsidR="00280539" w:rsidRPr="00E118F2">
        <w:rPr>
          <w:sz w:val="28"/>
          <w:lang w:val="uk-UA"/>
        </w:rPr>
        <w:t>1</w:t>
      </w:r>
      <w:r w:rsidR="00445FCE">
        <w:rPr>
          <w:sz w:val="28"/>
          <w:lang w:val="uk-UA"/>
        </w:rPr>
        <w:t>1</w:t>
      </w:r>
      <w:r w:rsidR="00280539" w:rsidRPr="00E118F2">
        <w:rPr>
          <w:sz w:val="28"/>
          <w:lang w:val="uk-UA"/>
        </w:rPr>
        <w:t>,3</w:t>
      </w:r>
      <w:r w:rsidR="00701554" w:rsidRPr="00E118F2">
        <w:rPr>
          <w:sz w:val="28"/>
          <w:lang w:val="uk-UA"/>
        </w:rPr>
        <w:t>%).</w:t>
      </w:r>
    </w:p>
    <w:p w:rsidR="00280539" w:rsidRPr="00E118F2" w:rsidRDefault="00280539" w:rsidP="00280539">
      <w:pPr>
        <w:ind w:firstLine="709"/>
        <w:jc w:val="both"/>
        <w:rPr>
          <w:sz w:val="28"/>
          <w:lang w:val="uk-UA"/>
        </w:rPr>
      </w:pPr>
      <w:r w:rsidRPr="00E118F2">
        <w:rPr>
          <w:sz w:val="28"/>
          <w:lang w:val="uk-UA"/>
        </w:rPr>
        <w:t>Студенти-заочники демонструють помітно вищу орієнтацію на максимальний результат. Скоріше за все, це пов'язано з їхньою більшою самостійністю та більш практичним і свідомим підходом до здобуття фаху.</w:t>
      </w:r>
    </w:p>
    <w:p w:rsidR="00280539" w:rsidRDefault="00280539" w:rsidP="00280539">
      <w:pPr>
        <w:ind w:firstLine="709"/>
        <w:jc w:val="both"/>
        <w:rPr>
          <w:sz w:val="28"/>
          <w:lang w:val="uk-UA"/>
        </w:rPr>
      </w:pPr>
      <w:r w:rsidRPr="00E118F2">
        <w:rPr>
          <w:sz w:val="28"/>
          <w:lang w:val="uk-UA"/>
        </w:rPr>
        <w:t>Показник у 5,</w:t>
      </w:r>
      <w:r w:rsidR="00445FCE">
        <w:rPr>
          <w:sz w:val="28"/>
          <w:lang w:val="uk-UA"/>
        </w:rPr>
        <w:t>9</w:t>
      </w:r>
      <w:r w:rsidRPr="00E118F2">
        <w:rPr>
          <w:sz w:val="28"/>
          <w:lang w:val="uk-UA"/>
        </w:rPr>
        <w:t>% наочно показує, що попри всі поточні складнощі організації освітнього процесу, в інститутах зберігається ядро вмотивованої молоді. Завідувачам кафедр варто звернути увагу на цих студентів і активніше залучати їх до наукової роботи чи участі в конференціях, адже саме вони формують академічний імідж університету.</w:t>
      </w:r>
    </w:p>
    <w:p w:rsidR="00B15D36" w:rsidRPr="00E118F2" w:rsidRDefault="00B15D36" w:rsidP="00280539">
      <w:pPr>
        <w:ind w:firstLine="709"/>
        <w:jc w:val="both"/>
        <w:rPr>
          <w:sz w:val="28"/>
          <w:lang w:val="uk-UA"/>
        </w:rPr>
      </w:pPr>
    </w:p>
    <w:p w:rsidR="005274EB" w:rsidRPr="00E118F2" w:rsidRDefault="00280539" w:rsidP="00280539">
      <w:pPr>
        <w:jc w:val="both"/>
        <w:rPr>
          <w:sz w:val="28"/>
          <w:lang w:val="uk-UA"/>
        </w:rPr>
      </w:pPr>
      <w:r w:rsidRPr="00E118F2">
        <w:rPr>
          <w:noProof/>
          <w:lang w:val="uk-UA" w:eastAsia="uk-UA"/>
        </w:rPr>
        <w:drawing>
          <wp:inline distT="0" distB="0" distL="0" distR="0" wp14:anchorId="4403FA01" wp14:editId="679ACBE8">
            <wp:extent cx="6120765" cy="3057540"/>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1BCC" w:rsidRPr="00E118F2" w:rsidRDefault="00161BCC">
      <w:pPr>
        <w:rPr>
          <w:b/>
          <w:bCs/>
          <w:sz w:val="28"/>
          <w:lang w:val="uk-UA"/>
        </w:rPr>
      </w:pPr>
    </w:p>
    <w:p w:rsidR="00280539" w:rsidRPr="00E118F2" w:rsidRDefault="00280539" w:rsidP="00280539">
      <w:pPr>
        <w:ind w:firstLine="709"/>
        <w:jc w:val="both"/>
        <w:rPr>
          <w:bCs/>
          <w:sz w:val="28"/>
          <w:lang w:val="uk-UA"/>
        </w:rPr>
      </w:pPr>
      <w:r w:rsidRPr="00E118F2">
        <w:rPr>
          <w:b/>
          <w:bCs/>
          <w:sz w:val="28"/>
          <w:lang w:val="uk-UA"/>
        </w:rPr>
        <w:t>Кількість студентів, які мають принаймні одну незадовільну оцінку</w:t>
      </w:r>
      <w:r w:rsidRPr="00E118F2">
        <w:rPr>
          <w:bCs/>
          <w:sz w:val="28"/>
          <w:lang w:val="uk-UA"/>
        </w:rPr>
        <w:t>, становить 2</w:t>
      </w:r>
      <w:r w:rsidR="00445FCE">
        <w:rPr>
          <w:bCs/>
          <w:sz w:val="28"/>
          <w:lang w:val="uk-UA"/>
        </w:rPr>
        <w:t>52</w:t>
      </w:r>
      <w:r w:rsidRPr="00E118F2">
        <w:rPr>
          <w:bCs/>
          <w:sz w:val="28"/>
          <w:lang w:val="uk-UA"/>
        </w:rPr>
        <w:t xml:space="preserve"> ос</w:t>
      </w:r>
      <w:r w:rsidR="00445FCE">
        <w:rPr>
          <w:bCs/>
          <w:sz w:val="28"/>
          <w:lang w:val="uk-UA"/>
        </w:rPr>
        <w:t>оби</w:t>
      </w:r>
      <w:r w:rsidRPr="00E118F2">
        <w:rPr>
          <w:bCs/>
          <w:sz w:val="28"/>
          <w:lang w:val="uk-UA"/>
        </w:rPr>
        <w:t xml:space="preserve">. Загалом це </w:t>
      </w:r>
      <w:r w:rsidR="00445FCE">
        <w:rPr>
          <w:bCs/>
          <w:sz w:val="28"/>
          <w:lang w:val="uk-UA"/>
        </w:rPr>
        <w:t>8</w:t>
      </w:r>
      <w:r w:rsidRPr="00E118F2">
        <w:rPr>
          <w:bCs/>
          <w:sz w:val="28"/>
          <w:lang w:val="uk-UA"/>
        </w:rPr>
        <w:t>,</w:t>
      </w:r>
      <w:r w:rsidR="00445FCE">
        <w:rPr>
          <w:bCs/>
          <w:sz w:val="28"/>
          <w:lang w:val="uk-UA"/>
        </w:rPr>
        <w:t>6</w:t>
      </w:r>
      <w:r w:rsidRPr="00E118F2">
        <w:rPr>
          <w:bCs/>
          <w:sz w:val="28"/>
          <w:lang w:val="uk-UA"/>
        </w:rPr>
        <w:t xml:space="preserve">% від усього контингенту. Якщо розподілити ці дані за формами навчання, то на заочній маємо лише </w:t>
      </w:r>
      <w:r w:rsidR="00445FCE">
        <w:rPr>
          <w:bCs/>
          <w:sz w:val="28"/>
          <w:lang w:val="uk-UA"/>
        </w:rPr>
        <w:t>58</w:t>
      </w:r>
      <w:r w:rsidRPr="00E118F2">
        <w:rPr>
          <w:bCs/>
          <w:sz w:val="28"/>
          <w:lang w:val="uk-UA"/>
        </w:rPr>
        <w:t xml:space="preserve"> боржників. Натомість на денній формі їх 194.</w:t>
      </w:r>
    </w:p>
    <w:p w:rsidR="00791C9F" w:rsidRDefault="00B8089C" w:rsidP="00C909A6">
      <w:pPr>
        <w:ind w:firstLine="720"/>
        <w:jc w:val="both"/>
        <w:rPr>
          <w:sz w:val="28"/>
          <w:lang w:val="uk-UA"/>
        </w:rPr>
      </w:pPr>
      <w:r w:rsidRPr="00E118F2">
        <w:rPr>
          <w:sz w:val="28"/>
          <w:lang w:val="uk-UA"/>
        </w:rPr>
        <w:t>Директорам інститутів</w:t>
      </w:r>
      <w:r w:rsidR="006E539B" w:rsidRPr="00E118F2">
        <w:rPr>
          <w:sz w:val="28"/>
          <w:lang w:val="uk-UA"/>
        </w:rPr>
        <w:t xml:space="preserve"> </w:t>
      </w:r>
      <w:r w:rsidRPr="00E118F2">
        <w:rPr>
          <w:sz w:val="28"/>
          <w:lang w:val="uk-UA"/>
        </w:rPr>
        <w:t xml:space="preserve">необхідно </w:t>
      </w:r>
      <w:r w:rsidR="00D17154" w:rsidRPr="00E118F2">
        <w:rPr>
          <w:sz w:val="28"/>
          <w:lang w:val="uk-UA"/>
        </w:rPr>
        <w:t xml:space="preserve">звернути увагу на ці </w:t>
      </w:r>
      <w:r w:rsidR="00791C9F" w:rsidRPr="00E118F2">
        <w:rPr>
          <w:sz w:val="28"/>
          <w:lang w:val="uk-UA"/>
        </w:rPr>
        <w:t>показники</w:t>
      </w:r>
      <w:r w:rsidRPr="00E118F2">
        <w:rPr>
          <w:sz w:val="28"/>
          <w:lang w:val="uk-UA"/>
        </w:rPr>
        <w:t>, організувати роботу з цими студентами з метою ліквідації академічних заборгованостей та</w:t>
      </w:r>
      <w:r w:rsidR="000C652E" w:rsidRPr="00E118F2">
        <w:rPr>
          <w:sz w:val="28"/>
          <w:lang w:val="uk-UA"/>
        </w:rPr>
        <w:t xml:space="preserve"> </w:t>
      </w:r>
      <w:r w:rsidR="00D17154" w:rsidRPr="00E118F2">
        <w:rPr>
          <w:sz w:val="28"/>
          <w:lang w:val="uk-UA"/>
        </w:rPr>
        <w:t>збереженн</w:t>
      </w:r>
      <w:r w:rsidRPr="00E118F2">
        <w:rPr>
          <w:sz w:val="28"/>
          <w:lang w:val="uk-UA"/>
        </w:rPr>
        <w:t>я</w:t>
      </w:r>
      <w:r w:rsidR="000C652E" w:rsidRPr="00E118F2">
        <w:rPr>
          <w:sz w:val="28"/>
          <w:lang w:val="uk-UA"/>
        </w:rPr>
        <w:t xml:space="preserve"> контингенту </w:t>
      </w:r>
      <w:r w:rsidR="00247C6D" w:rsidRPr="00E118F2">
        <w:rPr>
          <w:sz w:val="28"/>
          <w:lang w:val="uk-UA"/>
        </w:rPr>
        <w:t>здобувачів вищої освіти</w:t>
      </w:r>
      <w:r w:rsidR="000C652E" w:rsidRPr="00E118F2">
        <w:rPr>
          <w:sz w:val="28"/>
          <w:lang w:val="uk-UA"/>
        </w:rPr>
        <w:t>.</w:t>
      </w:r>
    </w:p>
    <w:p w:rsidR="00B15D36" w:rsidRPr="00E118F2" w:rsidRDefault="00B15D36" w:rsidP="00C909A6">
      <w:pPr>
        <w:ind w:firstLine="720"/>
        <w:jc w:val="both"/>
        <w:rPr>
          <w:sz w:val="28"/>
          <w:lang w:val="uk-UA"/>
        </w:rPr>
      </w:pPr>
    </w:p>
    <w:p w:rsidR="008F6D23" w:rsidRPr="00E118F2" w:rsidRDefault="00280539" w:rsidP="00280539">
      <w:pPr>
        <w:jc w:val="both"/>
        <w:rPr>
          <w:sz w:val="28"/>
          <w:lang w:val="uk-UA"/>
        </w:rPr>
      </w:pPr>
      <w:r w:rsidRPr="00E118F2">
        <w:rPr>
          <w:noProof/>
          <w:lang w:val="uk-UA" w:eastAsia="uk-UA"/>
        </w:rPr>
        <w:drawing>
          <wp:inline distT="0" distB="0" distL="0" distR="0" wp14:anchorId="388D716D" wp14:editId="25453CE3">
            <wp:extent cx="6120765" cy="3165564"/>
            <wp:effectExtent l="0" t="0" r="13335" b="1587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0539" w:rsidRPr="00E118F2" w:rsidRDefault="00280539" w:rsidP="00C909A6">
      <w:pPr>
        <w:ind w:firstLine="720"/>
        <w:jc w:val="both"/>
        <w:rPr>
          <w:b/>
          <w:sz w:val="28"/>
          <w:lang w:val="uk-UA"/>
        </w:rPr>
      </w:pPr>
    </w:p>
    <w:p w:rsidR="00601647" w:rsidRPr="00E118F2" w:rsidRDefault="00791C9F" w:rsidP="00C909A6">
      <w:pPr>
        <w:ind w:firstLine="720"/>
        <w:jc w:val="both"/>
        <w:rPr>
          <w:sz w:val="28"/>
          <w:lang w:val="uk-UA"/>
        </w:rPr>
      </w:pPr>
      <w:r w:rsidRPr="00E118F2">
        <w:rPr>
          <w:b/>
          <w:sz w:val="28"/>
          <w:lang w:val="uk-UA"/>
        </w:rPr>
        <w:t xml:space="preserve">5. Одним з інтегрованих показників успішності </w:t>
      </w:r>
      <w:r w:rsidR="00477818" w:rsidRPr="00E118F2">
        <w:rPr>
          <w:b/>
          <w:sz w:val="28"/>
          <w:lang w:val="uk-UA"/>
        </w:rPr>
        <w:t xml:space="preserve">студентів </w:t>
      </w:r>
      <w:r w:rsidRPr="00E118F2">
        <w:rPr>
          <w:b/>
          <w:sz w:val="28"/>
          <w:lang w:val="uk-UA"/>
        </w:rPr>
        <w:t xml:space="preserve">є </w:t>
      </w:r>
      <w:r w:rsidRPr="00E118F2">
        <w:rPr>
          <w:b/>
          <w:sz w:val="28"/>
          <w:u w:val="single"/>
          <w:lang w:val="uk-UA"/>
        </w:rPr>
        <w:t>середній бал</w:t>
      </w:r>
      <w:r w:rsidRPr="00E118F2">
        <w:rPr>
          <w:b/>
          <w:sz w:val="28"/>
          <w:lang w:val="uk-UA"/>
        </w:rPr>
        <w:t xml:space="preserve"> </w:t>
      </w:r>
    </w:p>
    <w:p w:rsidR="005D61ED" w:rsidRPr="00E118F2" w:rsidRDefault="005D61ED" w:rsidP="005D61ED">
      <w:pPr>
        <w:pStyle w:val="ae"/>
        <w:spacing w:before="0" w:beforeAutospacing="0" w:after="0" w:afterAutospacing="0"/>
        <w:ind w:firstLine="720"/>
        <w:jc w:val="both"/>
        <w:rPr>
          <w:sz w:val="28"/>
          <w:lang w:val="uk-UA"/>
        </w:rPr>
      </w:pPr>
      <w:r w:rsidRPr="00E118F2">
        <w:rPr>
          <w:b/>
          <w:bCs/>
          <w:sz w:val="28"/>
          <w:lang w:val="uk-UA"/>
        </w:rPr>
        <w:t>Середній бал успішності по університету складає 3,8.</w:t>
      </w:r>
    </w:p>
    <w:p w:rsidR="005D61ED" w:rsidRPr="00E118F2" w:rsidRDefault="005D61ED" w:rsidP="005D61ED">
      <w:pPr>
        <w:pStyle w:val="ae"/>
        <w:spacing w:before="0" w:beforeAutospacing="0" w:after="0" w:afterAutospacing="0"/>
        <w:ind w:firstLine="720"/>
        <w:jc w:val="both"/>
        <w:rPr>
          <w:sz w:val="28"/>
          <w:lang w:val="uk-UA"/>
        </w:rPr>
      </w:pPr>
      <w:r w:rsidRPr="00E118F2">
        <w:rPr>
          <w:sz w:val="28"/>
          <w:lang w:val="uk-UA"/>
        </w:rPr>
        <w:t>У розрізі форм навчання ми спостерігаємо вже звичну картину. На денному відділенні середній бал 3,71. Водночас заочна форма демонструє помітно вищий результат, а саме 4,0</w:t>
      </w:r>
      <w:r w:rsidR="00445FCE">
        <w:rPr>
          <w:sz w:val="28"/>
          <w:lang w:val="uk-UA"/>
        </w:rPr>
        <w:t>1</w:t>
      </w:r>
      <w:r w:rsidRPr="00E118F2">
        <w:rPr>
          <w:sz w:val="28"/>
          <w:lang w:val="uk-UA"/>
        </w:rPr>
        <w:t>.</w:t>
      </w:r>
    </w:p>
    <w:p w:rsidR="005D61ED" w:rsidRPr="00E118F2" w:rsidRDefault="005D61ED" w:rsidP="005D61ED">
      <w:pPr>
        <w:pStyle w:val="ae"/>
        <w:spacing w:before="0" w:beforeAutospacing="0" w:after="0" w:afterAutospacing="0"/>
        <w:ind w:firstLine="720"/>
        <w:jc w:val="both"/>
        <w:rPr>
          <w:sz w:val="28"/>
          <w:lang w:val="uk-UA"/>
        </w:rPr>
      </w:pPr>
      <w:r w:rsidRPr="00E118F2">
        <w:rPr>
          <w:sz w:val="28"/>
          <w:lang w:val="uk-UA"/>
        </w:rPr>
        <w:t>Ця різниця має цілком логічне пояснення. Студенти заочної форми зазвичай старші, часто вже працюють за обраним фахом і підходять до складання іспитів більш прагматично. Вони краще розуміють цінність отриманих знань для реальної роботи. Натомість показник 3,71 на денній формі свідчить про те, що значна частина молоді вчиться переважно на задовільно. Багато хто орієнтується виключно на подолання мінімального прохідного бар'єра і не прагне до вищих оцінок.</w:t>
      </w:r>
    </w:p>
    <w:p w:rsidR="005D61ED" w:rsidRPr="00E118F2" w:rsidRDefault="005D61ED" w:rsidP="005D61ED">
      <w:pPr>
        <w:pStyle w:val="ae"/>
        <w:spacing w:before="0" w:beforeAutospacing="0" w:after="0" w:afterAutospacing="0"/>
        <w:ind w:firstLine="720"/>
        <w:jc w:val="both"/>
        <w:rPr>
          <w:sz w:val="28"/>
          <w:lang w:val="uk-UA"/>
        </w:rPr>
      </w:pPr>
      <w:r w:rsidRPr="00E118F2">
        <w:rPr>
          <w:sz w:val="28"/>
          <w:lang w:val="uk-UA"/>
        </w:rPr>
        <w:t xml:space="preserve">Викладачам варто звернути увагу на цю тенденцію. Нам потрібно шукати додаткові інструменти мотивації для студентів денної форми, щоб стимулювати їхній інтерес до предметів і поступово </w:t>
      </w:r>
      <w:r w:rsidR="00B15D36">
        <w:rPr>
          <w:sz w:val="28"/>
          <w:lang w:val="uk-UA"/>
        </w:rPr>
        <w:t>підвищувати</w:t>
      </w:r>
      <w:r w:rsidRPr="00E118F2">
        <w:rPr>
          <w:sz w:val="28"/>
          <w:lang w:val="uk-UA"/>
        </w:rPr>
        <w:t xml:space="preserve"> загальний середній бал.</w:t>
      </w:r>
    </w:p>
    <w:p w:rsidR="00763F26" w:rsidRPr="00E118F2" w:rsidRDefault="005D61ED" w:rsidP="005B72E7">
      <w:pPr>
        <w:spacing w:line="360" w:lineRule="auto"/>
        <w:jc w:val="center"/>
        <w:rPr>
          <w:sz w:val="28"/>
          <w:lang w:val="uk-UA"/>
        </w:rPr>
      </w:pPr>
      <w:r w:rsidRPr="00E118F2">
        <w:rPr>
          <w:noProof/>
          <w:lang w:val="uk-UA" w:eastAsia="uk-UA"/>
        </w:rPr>
        <w:lastRenderedPageBreak/>
        <w:drawing>
          <wp:inline distT="0" distB="0" distL="0" distR="0" wp14:anchorId="6C3DA595" wp14:editId="14062C29">
            <wp:extent cx="6198919" cy="2410691"/>
            <wp:effectExtent l="0" t="0" r="11430" b="2794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15B5" w:rsidRPr="00E118F2" w:rsidRDefault="000D12CF" w:rsidP="00C909A6">
      <w:pPr>
        <w:ind w:firstLine="720"/>
        <w:jc w:val="both"/>
        <w:rPr>
          <w:b/>
          <w:sz w:val="28"/>
          <w:lang w:val="uk-UA"/>
        </w:rPr>
      </w:pPr>
      <w:r w:rsidRPr="00E118F2">
        <w:rPr>
          <w:b/>
          <w:sz w:val="28"/>
          <w:lang w:val="uk-UA"/>
        </w:rPr>
        <w:t>6. Динаміка показників</w:t>
      </w:r>
    </w:p>
    <w:p w:rsidR="002D5233" w:rsidRPr="00E118F2" w:rsidRDefault="002D5233" w:rsidP="00C909A6">
      <w:pPr>
        <w:ind w:firstLine="720"/>
        <w:jc w:val="both"/>
        <w:rPr>
          <w:sz w:val="28"/>
          <w:lang w:val="uk-UA"/>
        </w:rPr>
      </w:pPr>
      <w:r w:rsidRPr="00E118F2">
        <w:rPr>
          <w:bCs/>
          <w:sz w:val="28"/>
          <w:lang w:val="uk-UA"/>
        </w:rPr>
        <w:t>П</w:t>
      </w:r>
      <w:r w:rsidR="005D15B5" w:rsidRPr="00E118F2">
        <w:rPr>
          <w:bCs/>
          <w:sz w:val="28"/>
          <w:lang w:val="uk-UA"/>
        </w:rPr>
        <w:t>орівн</w:t>
      </w:r>
      <w:r w:rsidR="00D44F8C" w:rsidRPr="00E118F2">
        <w:rPr>
          <w:bCs/>
          <w:sz w:val="28"/>
          <w:lang w:val="uk-UA"/>
        </w:rPr>
        <w:t xml:space="preserve">яння </w:t>
      </w:r>
      <w:r w:rsidR="005D15B5" w:rsidRPr="00E118F2">
        <w:rPr>
          <w:bCs/>
          <w:sz w:val="28"/>
          <w:lang w:val="uk-UA"/>
        </w:rPr>
        <w:t>показник</w:t>
      </w:r>
      <w:r w:rsidR="00D44F8C" w:rsidRPr="00E118F2">
        <w:rPr>
          <w:bCs/>
          <w:sz w:val="28"/>
          <w:lang w:val="uk-UA"/>
        </w:rPr>
        <w:t>ів</w:t>
      </w:r>
      <w:r w:rsidR="00F96012" w:rsidRPr="00E118F2">
        <w:rPr>
          <w:bCs/>
          <w:sz w:val="28"/>
          <w:lang w:val="uk-UA"/>
        </w:rPr>
        <w:t xml:space="preserve"> навчання поточного і</w:t>
      </w:r>
      <w:r w:rsidR="00F96012" w:rsidRPr="00E118F2">
        <w:rPr>
          <w:sz w:val="28"/>
          <w:lang w:val="uk-UA"/>
        </w:rPr>
        <w:t xml:space="preserve"> попередн</w:t>
      </w:r>
      <w:r w:rsidR="00E924CB" w:rsidRPr="00E118F2">
        <w:rPr>
          <w:sz w:val="28"/>
          <w:lang w:val="uk-UA"/>
        </w:rPr>
        <w:t>іх</w:t>
      </w:r>
      <w:r w:rsidR="00F96012" w:rsidRPr="00E118F2">
        <w:rPr>
          <w:sz w:val="28"/>
          <w:lang w:val="uk-UA"/>
        </w:rPr>
        <w:t xml:space="preserve"> років</w:t>
      </w:r>
      <w:r w:rsidRPr="00E118F2">
        <w:rPr>
          <w:sz w:val="28"/>
          <w:lang w:val="uk-UA"/>
        </w:rPr>
        <w:t>, засвідчило про такі тенденції:</w:t>
      </w:r>
    </w:p>
    <w:tbl>
      <w:tblPr>
        <w:tblStyle w:val="a9"/>
        <w:tblW w:w="7101" w:type="dxa"/>
        <w:tblLook w:val="04A0" w:firstRow="1" w:lastRow="0" w:firstColumn="1" w:lastColumn="0" w:noHBand="0" w:noVBand="1"/>
      </w:tblPr>
      <w:tblGrid>
        <w:gridCol w:w="2367"/>
        <w:gridCol w:w="2367"/>
        <w:gridCol w:w="2367"/>
      </w:tblGrid>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Навчальний рік</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Абсолютна успішність (%)</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Показник якості (%)</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2014-15</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94,2</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76,5</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2015-16</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91,9</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73,7</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2016-17</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93,8</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78,8</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2017-18</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93,6</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78,4</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2018-19</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96,4</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78,1</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2019-20</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96,1</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82,4</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2020-21</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97,0</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82,2</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2021-22</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96,6</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84,1</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2022-23</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95,0</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81,9</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2023-24</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98,1</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86,3</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2024-25</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95,4</w:t>
            </w:r>
          </w:p>
        </w:tc>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76,6</w:t>
            </w:r>
          </w:p>
        </w:tc>
      </w:tr>
      <w:tr w:rsidR="005D61ED" w:rsidRPr="00E118F2" w:rsidTr="005D61ED">
        <w:trPr>
          <w:trHeight w:val="315"/>
        </w:trPr>
        <w:tc>
          <w:tcPr>
            <w:tcW w:w="2367" w:type="dxa"/>
            <w:vAlign w:val="center"/>
            <w:hideMark/>
          </w:tcPr>
          <w:p w:rsidR="005D61ED" w:rsidRPr="00E118F2" w:rsidRDefault="005D61ED" w:rsidP="005D61ED">
            <w:pPr>
              <w:widowControl w:val="0"/>
              <w:jc w:val="center"/>
              <w:rPr>
                <w:sz w:val="24"/>
                <w:szCs w:val="24"/>
                <w:lang w:val="uk-UA"/>
              </w:rPr>
            </w:pPr>
            <w:r w:rsidRPr="00E118F2">
              <w:rPr>
                <w:sz w:val="24"/>
                <w:szCs w:val="24"/>
                <w:lang w:val="uk-UA"/>
              </w:rPr>
              <w:t>2025-26</w:t>
            </w:r>
          </w:p>
        </w:tc>
        <w:tc>
          <w:tcPr>
            <w:tcW w:w="2367" w:type="dxa"/>
            <w:vAlign w:val="center"/>
            <w:hideMark/>
          </w:tcPr>
          <w:p w:rsidR="005D61ED" w:rsidRPr="00E118F2" w:rsidRDefault="005D61ED" w:rsidP="00445FCE">
            <w:pPr>
              <w:widowControl w:val="0"/>
              <w:jc w:val="center"/>
              <w:rPr>
                <w:sz w:val="24"/>
                <w:szCs w:val="24"/>
                <w:lang w:val="uk-UA"/>
              </w:rPr>
            </w:pPr>
            <w:r w:rsidRPr="00E118F2">
              <w:rPr>
                <w:sz w:val="24"/>
                <w:szCs w:val="24"/>
                <w:lang w:val="uk-UA"/>
              </w:rPr>
              <w:t>96,</w:t>
            </w:r>
            <w:r w:rsidR="00445FCE">
              <w:rPr>
                <w:sz w:val="24"/>
                <w:szCs w:val="24"/>
                <w:lang w:val="uk-UA"/>
              </w:rPr>
              <w:t>6</w:t>
            </w:r>
          </w:p>
        </w:tc>
        <w:tc>
          <w:tcPr>
            <w:tcW w:w="2367" w:type="dxa"/>
            <w:vAlign w:val="center"/>
            <w:hideMark/>
          </w:tcPr>
          <w:p w:rsidR="005D61ED" w:rsidRPr="00E118F2" w:rsidRDefault="005D61ED" w:rsidP="00445FCE">
            <w:pPr>
              <w:widowControl w:val="0"/>
              <w:jc w:val="center"/>
              <w:rPr>
                <w:sz w:val="24"/>
                <w:szCs w:val="24"/>
                <w:lang w:val="uk-UA"/>
              </w:rPr>
            </w:pPr>
            <w:r w:rsidRPr="00E118F2">
              <w:rPr>
                <w:sz w:val="24"/>
                <w:szCs w:val="24"/>
                <w:lang w:val="uk-UA"/>
              </w:rPr>
              <w:t>7</w:t>
            </w:r>
            <w:r w:rsidR="00445FCE">
              <w:rPr>
                <w:sz w:val="24"/>
                <w:szCs w:val="24"/>
                <w:lang w:val="uk-UA"/>
              </w:rPr>
              <w:t>3</w:t>
            </w:r>
            <w:r w:rsidRPr="00E118F2">
              <w:rPr>
                <w:sz w:val="24"/>
                <w:szCs w:val="24"/>
                <w:lang w:val="uk-UA"/>
              </w:rPr>
              <w:t>,</w:t>
            </w:r>
            <w:r w:rsidR="00445FCE">
              <w:rPr>
                <w:sz w:val="24"/>
                <w:szCs w:val="24"/>
                <w:lang w:val="uk-UA"/>
              </w:rPr>
              <w:t>1</w:t>
            </w:r>
          </w:p>
        </w:tc>
      </w:tr>
    </w:tbl>
    <w:p w:rsidR="005D61ED" w:rsidRPr="00E118F2" w:rsidRDefault="005D61ED" w:rsidP="00F930D2">
      <w:pPr>
        <w:ind w:firstLine="720"/>
        <w:jc w:val="both"/>
        <w:rPr>
          <w:sz w:val="28"/>
          <w:szCs w:val="24"/>
          <w:lang w:val="uk-UA"/>
        </w:rPr>
      </w:pPr>
    </w:p>
    <w:p w:rsidR="00F930D2" w:rsidRPr="00E118F2" w:rsidRDefault="00F930D2" w:rsidP="00F930D2">
      <w:pPr>
        <w:widowControl w:val="0"/>
        <w:ind w:firstLine="720"/>
        <w:jc w:val="both"/>
        <w:rPr>
          <w:sz w:val="28"/>
          <w:szCs w:val="28"/>
          <w:lang w:val="uk-UA"/>
        </w:rPr>
      </w:pPr>
      <w:r w:rsidRPr="00E118F2">
        <w:rPr>
          <w:sz w:val="28"/>
          <w:szCs w:val="28"/>
          <w:lang w:val="uk-UA"/>
        </w:rPr>
        <w:t>З позитивного варто відзначити, що абсолютна успішність відновила зростання. Після минулорічного спаду показник повернувся на звичний високий рівень у 96,</w:t>
      </w:r>
      <w:r w:rsidR="00445FCE">
        <w:rPr>
          <w:sz w:val="28"/>
          <w:szCs w:val="28"/>
          <w:lang w:val="uk-UA"/>
        </w:rPr>
        <w:t>6</w:t>
      </w:r>
      <w:r w:rsidRPr="00E118F2">
        <w:rPr>
          <w:sz w:val="28"/>
          <w:szCs w:val="28"/>
          <w:lang w:val="uk-UA"/>
        </w:rPr>
        <w:t>%. Це означає, що більшість студентів вчасно закривають сесію і не накопичують критичних боргів, які б вели до відрахування.</w:t>
      </w:r>
    </w:p>
    <w:p w:rsidR="00763F26" w:rsidRPr="00E118F2" w:rsidRDefault="00F930D2" w:rsidP="00F930D2">
      <w:pPr>
        <w:widowControl w:val="0"/>
        <w:ind w:firstLine="720"/>
        <w:jc w:val="both"/>
        <w:rPr>
          <w:lang w:val="uk-UA"/>
        </w:rPr>
      </w:pPr>
      <w:r w:rsidRPr="00E118F2">
        <w:rPr>
          <w:sz w:val="28"/>
          <w:szCs w:val="28"/>
          <w:lang w:val="uk-UA"/>
        </w:rPr>
        <w:t xml:space="preserve">Водночас динаміка якості підготовки викликає серйозне занепокоєння. Ми фіксуємо падіння цього критерію другий рік поспіль. Якщо у 2023-2024 років університет мав рекордні 86,3%, то зараз показник </w:t>
      </w:r>
      <w:r w:rsidR="00B15D36">
        <w:rPr>
          <w:sz w:val="28"/>
          <w:szCs w:val="28"/>
          <w:lang w:val="uk-UA"/>
        </w:rPr>
        <w:t>знизився</w:t>
      </w:r>
      <w:r w:rsidRPr="00E118F2">
        <w:rPr>
          <w:sz w:val="28"/>
          <w:szCs w:val="28"/>
          <w:lang w:val="uk-UA"/>
        </w:rPr>
        <w:t xml:space="preserve"> до 7</w:t>
      </w:r>
      <w:r w:rsidR="00445FCE">
        <w:rPr>
          <w:sz w:val="28"/>
          <w:szCs w:val="28"/>
          <w:lang w:val="uk-UA"/>
        </w:rPr>
        <w:t>3</w:t>
      </w:r>
      <w:r w:rsidRPr="00E118F2">
        <w:rPr>
          <w:sz w:val="28"/>
          <w:szCs w:val="28"/>
          <w:lang w:val="uk-UA"/>
        </w:rPr>
        <w:t>,</w:t>
      </w:r>
      <w:r w:rsidR="00445FCE">
        <w:rPr>
          <w:sz w:val="28"/>
          <w:szCs w:val="28"/>
          <w:lang w:val="uk-UA"/>
        </w:rPr>
        <w:t>1</w:t>
      </w:r>
      <w:r w:rsidRPr="00E118F2">
        <w:rPr>
          <w:sz w:val="28"/>
          <w:szCs w:val="28"/>
          <w:lang w:val="uk-UA"/>
        </w:rPr>
        <w:t>%.</w:t>
      </w:r>
      <w:r w:rsidR="006826F0">
        <w:rPr>
          <w:sz w:val="28"/>
          <w:szCs w:val="28"/>
          <w:lang w:val="uk-UA"/>
        </w:rPr>
        <w:t xml:space="preserve"> Хоча, враховуючи перешкоди до оптимальної організації освітнього процесу та самостійної роботи здобувачів в умовах воєнного стану, можна вважати такий показник в цілому прийнятним.</w:t>
      </w:r>
      <w:r w:rsidRPr="00E118F2">
        <w:rPr>
          <w:sz w:val="28"/>
          <w:szCs w:val="28"/>
          <w:lang w:val="uk-UA"/>
        </w:rPr>
        <w:t xml:space="preserve"> </w:t>
      </w:r>
    </w:p>
    <w:p w:rsidR="00470A15" w:rsidRPr="00E118F2" w:rsidRDefault="00470A15" w:rsidP="00763F26">
      <w:pPr>
        <w:jc w:val="center"/>
        <w:rPr>
          <w:lang w:val="uk-UA"/>
        </w:rPr>
      </w:pPr>
    </w:p>
    <w:p w:rsidR="00161BCC" w:rsidRPr="00E118F2" w:rsidRDefault="00F930D2" w:rsidP="00763F26">
      <w:pPr>
        <w:jc w:val="center"/>
        <w:rPr>
          <w:lang w:val="uk-UA"/>
        </w:rPr>
      </w:pPr>
      <w:r w:rsidRPr="00E118F2">
        <w:rPr>
          <w:noProof/>
          <w:lang w:val="uk-UA" w:eastAsia="uk-UA"/>
        </w:rPr>
        <w:lastRenderedPageBreak/>
        <w:drawing>
          <wp:inline distT="0" distB="0" distL="0" distR="0" wp14:anchorId="4BD8CB14" wp14:editId="56F3A238">
            <wp:extent cx="6127667" cy="4785756"/>
            <wp:effectExtent l="0" t="0" r="26035" b="1524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930D2" w:rsidRPr="00E118F2" w:rsidRDefault="00F930D2">
      <w:pPr>
        <w:rPr>
          <w:sz w:val="14"/>
          <w:lang w:val="uk-UA"/>
        </w:rPr>
      </w:pPr>
    </w:p>
    <w:p w:rsidR="00F930D2" w:rsidRPr="00E118F2" w:rsidRDefault="00F930D2">
      <w:pPr>
        <w:rPr>
          <w:sz w:val="14"/>
          <w:lang w:val="uk-UA"/>
        </w:rPr>
      </w:pPr>
      <w:r w:rsidRPr="00E118F2">
        <w:rPr>
          <w:noProof/>
          <w:lang w:val="uk-UA" w:eastAsia="uk-UA"/>
        </w:rPr>
        <w:drawing>
          <wp:inline distT="0" distB="0" distL="0" distR="0" wp14:anchorId="5BA32405" wp14:editId="1CA9C051">
            <wp:extent cx="6614556" cy="3764478"/>
            <wp:effectExtent l="0" t="0" r="15240" b="2667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61BCC" w:rsidRPr="00E118F2" w:rsidRDefault="00161BCC">
      <w:pPr>
        <w:rPr>
          <w:sz w:val="14"/>
          <w:lang w:val="uk-UA"/>
        </w:rPr>
      </w:pPr>
      <w:r w:rsidRPr="00E118F2">
        <w:rPr>
          <w:sz w:val="14"/>
          <w:lang w:val="uk-UA"/>
        </w:rPr>
        <w:br w:type="page"/>
      </w:r>
    </w:p>
    <w:p w:rsidR="007C34A5" w:rsidRPr="00E118F2" w:rsidRDefault="007C34A5" w:rsidP="007C34A5">
      <w:pPr>
        <w:jc w:val="both"/>
        <w:rPr>
          <w:sz w:val="14"/>
          <w:lang w:val="uk-UA"/>
        </w:rPr>
      </w:pPr>
    </w:p>
    <w:tbl>
      <w:tblPr>
        <w:tblW w:w="7180" w:type="dxa"/>
        <w:tblInd w:w="93" w:type="dxa"/>
        <w:tblLook w:val="04A0" w:firstRow="1" w:lastRow="0" w:firstColumn="1" w:lastColumn="0" w:noHBand="0" w:noVBand="1"/>
      </w:tblPr>
      <w:tblGrid>
        <w:gridCol w:w="3160"/>
        <w:gridCol w:w="1340"/>
        <w:gridCol w:w="1340"/>
        <w:gridCol w:w="1340"/>
      </w:tblGrid>
      <w:tr w:rsidR="007C34A5" w:rsidRPr="006826F0" w:rsidTr="007C34A5">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4A5" w:rsidRPr="006826F0" w:rsidRDefault="006826F0" w:rsidP="006826F0">
            <w:pPr>
              <w:jc w:val="center"/>
              <w:rPr>
                <w:b/>
                <w:sz w:val="24"/>
                <w:szCs w:val="24"/>
                <w:lang w:val="uk-UA"/>
              </w:rPr>
            </w:pPr>
            <w:r w:rsidRPr="006826F0">
              <w:rPr>
                <w:b/>
                <w:sz w:val="24"/>
                <w:szCs w:val="24"/>
                <w:lang w:val="uk-UA"/>
              </w:rPr>
              <w:t>Навчальний рік</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7C34A5" w:rsidRPr="006826F0" w:rsidRDefault="007C34A5" w:rsidP="007C34A5">
            <w:pPr>
              <w:jc w:val="center"/>
              <w:rPr>
                <w:b/>
                <w:bCs/>
                <w:sz w:val="24"/>
                <w:szCs w:val="24"/>
                <w:lang w:val="uk-UA"/>
              </w:rPr>
            </w:pPr>
            <w:r w:rsidRPr="006826F0">
              <w:rPr>
                <w:b/>
                <w:bCs/>
                <w:sz w:val="24"/>
                <w:szCs w:val="24"/>
                <w:lang w:val="uk-UA"/>
              </w:rPr>
              <w:t>Денна</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7C34A5" w:rsidRPr="006826F0" w:rsidRDefault="007C34A5" w:rsidP="007C34A5">
            <w:pPr>
              <w:jc w:val="center"/>
              <w:rPr>
                <w:b/>
                <w:bCs/>
                <w:sz w:val="24"/>
                <w:szCs w:val="24"/>
                <w:lang w:val="uk-UA"/>
              </w:rPr>
            </w:pPr>
            <w:r w:rsidRPr="006826F0">
              <w:rPr>
                <w:b/>
                <w:bCs/>
                <w:sz w:val="24"/>
                <w:szCs w:val="24"/>
                <w:lang w:val="uk-UA"/>
              </w:rPr>
              <w:t>Заочна</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7C34A5" w:rsidRPr="006826F0" w:rsidRDefault="007C34A5" w:rsidP="007C34A5">
            <w:pPr>
              <w:jc w:val="center"/>
              <w:rPr>
                <w:b/>
                <w:bCs/>
                <w:sz w:val="24"/>
                <w:szCs w:val="24"/>
                <w:lang w:val="uk-UA"/>
              </w:rPr>
            </w:pPr>
            <w:r w:rsidRPr="006826F0">
              <w:rPr>
                <w:b/>
                <w:bCs/>
                <w:sz w:val="24"/>
                <w:szCs w:val="24"/>
                <w:lang w:val="uk-UA"/>
              </w:rPr>
              <w:t>Разом</w:t>
            </w:r>
          </w:p>
        </w:tc>
      </w:tr>
      <w:tr w:rsidR="00E6511E" w:rsidRPr="00E118F2" w:rsidTr="007C34A5">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E6511E" w:rsidRPr="006826F0" w:rsidRDefault="00E6511E" w:rsidP="007C34A5">
            <w:pPr>
              <w:jc w:val="center"/>
              <w:rPr>
                <w:bCs/>
                <w:sz w:val="24"/>
                <w:szCs w:val="24"/>
                <w:lang w:val="uk-UA"/>
              </w:rPr>
            </w:pPr>
            <w:r w:rsidRPr="006826F0">
              <w:rPr>
                <w:bCs/>
                <w:sz w:val="24"/>
                <w:szCs w:val="24"/>
                <w:lang w:val="uk-UA"/>
              </w:rPr>
              <w:t>2012-13</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1431</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4183</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5614</w:t>
            </w:r>
          </w:p>
        </w:tc>
      </w:tr>
      <w:tr w:rsidR="00E6511E" w:rsidRPr="00E118F2" w:rsidTr="007C34A5">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E6511E" w:rsidRPr="006826F0" w:rsidRDefault="00E6511E" w:rsidP="007C34A5">
            <w:pPr>
              <w:jc w:val="center"/>
              <w:rPr>
                <w:bCs/>
                <w:sz w:val="24"/>
                <w:szCs w:val="24"/>
                <w:lang w:val="uk-UA"/>
              </w:rPr>
            </w:pPr>
            <w:r w:rsidRPr="006826F0">
              <w:rPr>
                <w:bCs/>
                <w:sz w:val="24"/>
                <w:szCs w:val="24"/>
                <w:lang w:val="uk-UA"/>
              </w:rPr>
              <w:t>2013-14</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1371</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3106</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4477</w:t>
            </w:r>
          </w:p>
        </w:tc>
      </w:tr>
      <w:tr w:rsidR="00E6511E" w:rsidRPr="00E118F2" w:rsidTr="007C34A5">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E6511E" w:rsidRPr="006826F0" w:rsidRDefault="00E6511E" w:rsidP="007C34A5">
            <w:pPr>
              <w:jc w:val="center"/>
              <w:rPr>
                <w:bCs/>
                <w:sz w:val="24"/>
                <w:szCs w:val="24"/>
                <w:lang w:val="uk-UA"/>
              </w:rPr>
            </w:pPr>
            <w:r w:rsidRPr="006826F0">
              <w:rPr>
                <w:bCs/>
                <w:sz w:val="24"/>
                <w:szCs w:val="24"/>
                <w:lang w:val="uk-UA"/>
              </w:rPr>
              <w:t>2014-15</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1344</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2256</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3600</w:t>
            </w:r>
          </w:p>
        </w:tc>
      </w:tr>
      <w:tr w:rsidR="00E6511E" w:rsidRPr="00E118F2" w:rsidTr="007C34A5">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E6511E" w:rsidRPr="006826F0" w:rsidRDefault="00E6511E" w:rsidP="007C34A5">
            <w:pPr>
              <w:jc w:val="center"/>
              <w:rPr>
                <w:bCs/>
                <w:sz w:val="24"/>
                <w:szCs w:val="24"/>
                <w:lang w:val="uk-UA"/>
              </w:rPr>
            </w:pPr>
            <w:r w:rsidRPr="006826F0">
              <w:rPr>
                <w:bCs/>
                <w:sz w:val="24"/>
                <w:szCs w:val="24"/>
                <w:lang w:val="uk-UA"/>
              </w:rPr>
              <w:t>2015-16</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1286</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2156</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3442</w:t>
            </w:r>
          </w:p>
        </w:tc>
      </w:tr>
      <w:tr w:rsidR="00E6511E" w:rsidRPr="00E118F2" w:rsidTr="007F7F7C">
        <w:tc>
          <w:tcPr>
            <w:tcW w:w="3160" w:type="dxa"/>
            <w:tcBorders>
              <w:top w:val="nil"/>
              <w:left w:val="single" w:sz="4" w:space="0" w:color="auto"/>
              <w:bottom w:val="single" w:sz="4" w:space="0" w:color="auto"/>
              <w:right w:val="single" w:sz="4" w:space="0" w:color="auto"/>
            </w:tcBorders>
            <w:shd w:val="clear" w:color="auto" w:fill="auto"/>
            <w:noWrap/>
            <w:vAlign w:val="center"/>
            <w:hideMark/>
          </w:tcPr>
          <w:p w:rsidR="00E6511E" w:rsidRPr="006826F0" w:rsidRDefault="00E6511E" w:rsidP="007C34A5">
            <w:pPr>
              <w:jc w:val="center"/>
              <w:rPr>
                <w:bCs/>
                <w:sz w:val="24"/>
                <w:szCs w:val="24"/>
                <w:lang w:val="uk-UA"/>
              </w:rPr>
            </w:pPr>
            <w:r w:rsidRPr="006826F0">
              <w:rPr>
                <w:bCs/>
                <w:sz w:val="24"/>
                <w:szCs w:val="24"/>
                <w:lang w:val="uk-UA"/>
              </w:rPr>
              <w:t>2016-17</w:t>
            </w:r>
          </w:p>
        </w:tc>
        <w:tc>
          <w:tcPr>
            <w:tcW w:w="1340" w:type="dxa"/>
            <w:tcBorders>
              <w:top w:val="nil"/>
              <w:left w:val="nil"/>
              <w:bottom w:val="single" w:sz="4" w:space="0" w:color="auto"/>
              <w:right w:val="nil"/>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980</w:t>
            </w:r>
          </w:p>
        </w:tc>
        <w:tc>
          <w:tcPr>
            <w:tcW w:w="1340" w:type="dxa"/>
            <w:tcBorders>
              <w:top w:val="nil"/>
              <w:left w:val="single" w:sz="4" w:space="0" w:color="auto"/>
              <w:bottom w:val="single" w:sz="4" w:space="0" w:color="auto"/>
              <w:right w:val="nil"/>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2597</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3577</w:t>
            </w:r>
          </w:p>
        </w:tc>
      </w:tr>
      <w:tr w:rsidR="00E6511E" w:rsidRPr="00E118F2" w:rsidTr="007C34A5">
        <w:tc>
          <w:tcPr>
            <w:tcW w:w="3160" w:type="dxa"/>
            <w:tcBorders>
              <w:top w:val="nil"/>
              <w:left w:val="single" w:sz="4" w:space="0" w:color="auto"/>
              <w:bottom w:val="nil"/>
              <w:right w:val="single" w:sz="4" w:space="0" w:color="auto"/>
            </w:tcBorders>
            <w:shd w:val="clear" w:color="auto" w:fill="auto"/>
            <w:noWrap/>
            <w:vAlign w:val="center"/>
            <w:hideMark/>
          </w:tcPr>
          <w:p w:rsidR="00E6511E" w:rsidRPr="006826F0" w:rsidRDefault="00E6511E" w:rsidP="007C34A5">
            <w:pPr>
              <w:jc w:val="center"/>
              <w:rPr>
                <w:bCs/>
                <w:sz w:val="24"/>
                <w:szCs w:val="24"/>
                <w:lang w:val="uk-UA"/>
              </w:rPr>
            </w:pPr>
            <w:r w:rsidRPr="006826F0">
              <w:rPr>
                <w:bCs/>
                <w:sz w:val="24"/>
                <w:szCs w:val="24"/>
                <w:lang w:val="uk-UA"/>
              </w:rPr>
              <w:t>2017-18</w:t>
            </w:r>
          </w:p>
        </w:tc>
        <w:tc>
          <w:tcPr>
            <w:tcW w:w="1340" w:type="dxa"/>
            <w:tcBorders>
              <w:top w:val="nil"/>
              <w:left w:val="nil"/>
              <w:bottom w:val="nil"/>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1287</w:t>
            </w:r>
          </w:p>
        </w:tc>
        <w:tc>
          <w:tcPr>
            <w:tcW w:w="1340" w:type="dxa"/>
            <w:tcBorders>
              <w:top w:val="nil"/>
              <w:left w:val="nil"/>
              <w:bottom w:val="nil"/>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2352</w:t>
            </w:r>
          </w:p>
        </w:tc>
        <w:tc>
          <w:tcPr>
            <w:tcW w:w="1340" w:type="dxa"/>
            <w:tcBorders>
              <w:top w:val="nil"/>
              <w:left w:val="nil"/>
              <w:bottom w:val="nil"/>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3639</w:t>
            </w:r>
          </w:p>
        </w:tc>
      </w:tr>
      <w:tr w:rsidR="00E6511E" w:rsidRPr="00E118F2" w:rsidTr="007F7F7C">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511E" w:rsidRPr="006826F0" w:rsidRDefault="00E6511E" w:rsidP="007C34A5">
            <w:pPr>
              <w:jc w:val="center"/>
              <w:rPr>
                <w:bCs/>
                <w:sz w:val="24"/>
                <w:szCs w:val="24"/>
                <w:lang w:val="uk-UA"/>
              </w:rPr>
            </w:pPr>
            <w:r w:rsidRPr="006826F0">
              <w:rPr>
                <w:bCs/>
                <w:sz w:val="24"/>
                <w:szCs w:val="24"/>
                <w:lang w:val="uk-UA"/>
              </w:rPr>
              <w:t>2018-19</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E6511E" w:rsidRPr="00E118F2" w:rsidRDefault="00E6511E">
            <w:pPr>
              <w:jc w:val="center"/>
              <w:rPr>
                <w:sz w:val="24"/>
                <w:szCs w:val="24"/>
                <w:lang w:val="uk-UA"/>
              </w:rPr>
            </w:pPr>
            <w:r w:rsidRPr="00E118F2">
              <w:rPr>
                <w:sz w:val="24"/>
                <w:szCs w:val="24"/>
                <w:lang w:val="uk-UA"/>
              </w:rPr>
              <w:t>939</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E6511E" w:rsidRPr="00E118F2" w:rsidRDefault="00E6511E">
            <w:pPr>
              <w:jc w:val="center"/>
              <w:rPr>
                <w:sz w:val="24"/>
                <w:szCs w:val="24"/>
                <w:lang w:val="uk-UA"/>
              </w:rPr>
            </w:pPr>
            <w:r w:rsidRPr="00E118F2">
              <w:rPr>
                <w:sz w:val="24"/>
                <w:szCs w:val="24"/>
                <w:lang w:val="uk-UA"/>
              </w:rPr>
              <w:t>1203</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2142</w:t>
            </w:r>
          </w:p>
        </w:tc>
      </w:tr>
      <w:tr w:rsidR="00E6511E" w:rsidRPr="00E118F2" w:rsidTr="007F7F7C">
        <w:tc>
          <w:tcPr>
            <w:tcW w:w="3160" w:type="dxa"/>
            <w:tcBorders>
              <w:top w:val="nil"/>
              <w:left w:val="single" w:sz="4" w:space="0" w:color="auto"/>
              <w:bottom w:val="single" w:sz="4" w:space="0" w:color="auto"/>
              <w:right w:val="single" w:sz="4" w:space="0" w:color="auto"/>
            </w:tcBorders>
            <w:shd w:val="clear" w:color="auto" w:fill="auto"/>
            <w:vAlign w:val="center"/>
            <w:hideMark/>
          </w:tcPr>
          <w:p w:rsidR="00E6511E" w:rsidRPr="006826F0" w:rsidRDefault="00E6511E" w:rsidP="007C34A5">
            <w:pPr>
              <w:jc w:val="center"/>
              <w:rPr>
                <w:bCs/>
                <w:sz w:val="24"/>
                <w:szCs w:val="24"/>
                <w:lang w:val="uk-UA"/>
              </w:rPr>
            </w:pPr>
            <w:r w:rsidRPr="006826F0">
              <w:rPr>
                <w:bCs/>
                <w:sz w:val="24"/>
                <w:szCs w:val="24"/>
                <w:lang w:val="uk-UA"/>
              </w:rPr>
              <w:t>2019-20</w:t>
            </w:r>
          </w:p>
        </w:tc>
        <w:tc>
          <w:tcPr>
            <w:tcW w:w="1340" w:type="dxa"/>
            <w:tcBorders>
              <w:top w:val="nil"/>
              <w:left w:val="nil"/>
              <w:bottom w:val="single" w:sz="4" w:space="0" w:color="auto"/>
              <w:right w:val="single" w:sz="4" w:space="0" w:color="auto"/>
            </w:tcBorders>
            <w:shd w:val="clear" w:color="auto" w:fill="auto"/>
            <w:vAlign w:val="center"/>
            <w:hideMark/>
          </w:tcPr>
          <w:p w:rsidR="00E6511E" w:rsidRPr="00E118F2" w:rsidRDefault="00E6511E">
            <w:pPr>
              <w:jc w:val="center"/>
              <w:rPr>
                <w:sz w:val="24"/>
                <w:szCs w:val="24"/>
                <w:lang w:val="uk-UA"/>
              </w:rPr>
            </w:pPr>
            <w:r w:rsidRPr="00E118F2">
              <w:rPr>
                <w:sz w:val="24"/>
                <w:szCs w:val="24"/>
                <w:lang w:val="uk-UA"/>
              </w:rPr>
              <w:t>953</w:t>
            </w:r>
          </w:p>
        </w:tc>
        <w:tc>
          <w:tcPr>
            <w:tcW w:w="1340" w:type="dxa"/>
            <w:tcBorders>
              <w:top w:val="nil"/>
              <w:left w:val="nil"/>
              <w:bottom w:val="single" w:sz="4" w:space="0" w:color="auto"/>
              <w:right w:val="single" w:sz="4" w:space="0" w:color="auto"/>
            </w:tcBorders>
            <w:shd w:val="clear" w:color="auto" w:fill="auto"/>
            <w:vAlign w:val="center"/>
            <w:hideMark/>
          </w:tcPr>
          <w:p w:rsidR="00E6511E" w:rsidRPr="00E118F2" w:rsidRDefault="00E6511E">
            <w:pPr>
              <w:jc w:val="center"/>
              <w:rPr>
                <w:sz w:val="24"/>
                <w:szCs w:val="24"/>
                <w:lang w:val="uk-UA"/>
              </w:rPr>
            </w:pPr>
            <w:r w:rsidRPr="00E118F2">
              <w:rPr>
                <w:sz w:val="24"/>
                <w:szCs w:val="24"/>
                <w:lang w:val="uk-UA"/>
              </w:rPr>
              <w:t>1593</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2546</w:t>
            </w:r>
          </w:p>
        </w:tc>
      </w:tr>
      <w:tr w:rsidR="00E6511E" w:rsidRPr="00E118F2" w:rsidTr="007F7F7C">
        <w:tc>
          <w:tcPr>
            <w:tcW w:w="3160" w:type="dxa"/>
            <w:tcBorders>
              <w:top w:val="nil"/>
              <w:left w:val="single" w:sz="4" w:space="0" w:color="auto"/>
              <w:bottom w:val="single" w:sz="4" w:space="0" w:color="auto"/>
              <w:right w:val="single" w:sz="4" w:space="0" w:color="auto"/>
            </w:tcBorders>
            <w:shd w:val="clear" w:color="auto" w:fill="auto"/>
            <w:vAlign w:val="center"/>
            <w:hideMark/>
          </w:tcPr>
          <w:p w:rsidR="00E6511E" w:rsidRPr="006826F0" w:rsidRDefault="00E6511E" w:rsidP="007C34A5">
            <w:pPr>
              <w:jc w:val="center"/>
              <w:rPr>
                <w:bCs/>
                <w:sz w:val="24"/>
                <w:szCs w:val="24"/>
                <w:lang w:val="uk-UA"/>
              </w:rPr>
            </w:pPr>
            <w:r w:rsidRPr="006826F0">
              <w:rPr>
                <w:bCs/>
                <w:sz w:val="24"/>
                <w:szCs w:val="24"/>
                <w:lang w:val="uk-UA"/>
              </w:rPr>
              <w:t>2020-21</w:t>
            </w:r>
          </w:p>
        </w:tc>
        <w:tc>
          <w:tcPr>
            <w:tcW w:w="1340" w:type="dxa"/>
            <w:tcBorders>
              <w:top w:val="nil"/>
              <w:left w:val="nil"/>
              <w:bottom w:val="single" w:sz="4" w:space="0" w:color="auto"/>
              <w:right w:val="single" w:sz="4" w:space="0" w:color="auto"/>
            </w:tcBorders>
            <w:shd w:val="clear" w:color="auto" w:fill="auto"/>
            <w:vAlign w:val="center"/>
            <w:hideMark/>
          </w:tcPr>
          <w:p w:rsidR="00E6511E" w:rsidRPr="00E118F2" w:rsidRDefault="00E6511E">
            <w:pPr>
              <w:jc w:val="center"/>
              <w:rPr>
                <w:sz w:val="24"/>
                <w:szCs w:val="24"/>
                <w:lang w:val="uk-UA"/>
              </w:rPr>
            </w:pPr>
            <w:r w:rsidRPr="00E118F2">
              <w:rPr>
                <w:sz w:val="24"/>
                <w:szCs w:val="24"/>
                <w:lang w:val="uk-UA"/>
              </w:rPr>
              <w:t>762</w:t>
            </w:r>
          </w:p>
        </w:tc>
        <w:tc>
          <w:tcPr>
            <w:tcW w:w="1340" w:type="dxa"/>
            <w:tcBorders>
              <w:top w:val="nil"/>
              <w:left w:val="nil"/>
              <w:bottom w:val="single" w:sz="4" w:space="0" w:color="auto"/>
              <w:right w:val="single" w:sz="4" w:space="0" w:color="auto"/>
            </w:tcBorders>
            <w:shd w:val="clear" w:color="auto" w:fill="auto"/>
            <w:vAlign w:val="center"/>
            <w:hideMark/>
          </w:tcPr>
          <w:p w:rsidR="00E6511E" w:rsidRPr="00E118F2" w:rsidRDefault="00E6511E">
            <w:pPr>
              <w:jc w:val="center"/>
              <w:rPr>
                <w:sz w:val="24"/>
                <w:szCs w:val="24"/>
                <w:lang w:val="uk-UA"/>
              </w:rPr>
            </w:pPr>
            <w:r w:rsidRPr="00E118F2">
              <w:rPr>
                <w:sz w:val="24"/>
                <w:szCs w:val="24"/>
                <w:lang w:val="uk-UA"/>
              </w:rPr>
              <w:t>1542</w:t>
            </w:r>
          </w:p>
        </w:tc>
        <w:tc>
          <w:tcPr>
            <w:tcW w:w="1340" w:type="dxa"/>
            <w:tcBorders>
              <w:top w:val="nil"/>
              <w:left w:val="nil"/>
              <w:bottom w:val="single" w:sz="4" w:space="0" w:color="auto"/>
              <w:right w:val="single" w:sz="4" w:space="0" w:color="auto"/>
            </w:tcBorders>
            <w:shd w:val="clear" w:color="auto" w:fill="auto"/>
            <w:noWrap/>
            <w:vAlign w:val="center"/>
            <w:hideMark/>
          </w:tcPr>
          <w:p w:rsidR="00E6511E" w:rsidRPr="00E118F2" w:rsidRDefault="00E6511E">
            <w:pPr>
              <w:jc w:val="center"/>
              <w:rPr>
                <w:sz w:val="24"/>
                <w:szCs w:val="24"/>
                <w:lang w:val="uk-UA"/>
              </w:rPr>
            </w:pPr>
            <w:r w:rsidRPr="00E118F2">
              <w:rPr>
                <w:sz w:val="24"/>
                <w:szCs w:val="24"/>
                <w:lang w:val="uk-UA"/>
              </w:rPr>
              <w:t>2304</w:t>
            </w:r>
          </w:p>
        </w:tc>
      </w:tr>
      <w:tr w:rsidR="00E6511E" w:rsidRPr="00E118F2" w:rsidTr="007F7F7C">
        <w:tc>
          <w:tcPr>
            <w:tcW w:w="3160" w:type="dxa"/>
            <w:tcBorders>
              <w:top w:val="nil"/>
              <w:left w:val="single" w:sz="4" w:space="0" w:color="auto"/>
              <w:bottom w:val="single" w:sz="4" w:space="0" w:color="auto"/>
              <w:right w:val="single" w:sz="4" w:space="0" w:color="auto"/>
            </w:tcBorders>
            <w:shd w:val="clear" w:color="auto" w:fill="auto"/>
            <w:vAlign w:val="center"/>
          </w:tcPr>
          <w:p w:rsidR="00E6511E" w:rsidRPr="006826F0" w:rsidRDefault="00E6511E" w:rsidP="00A5500C">
            <w:pPr>
              <w:jc w:val="center"/>
              <w:rPr>
                <w:bCs/>
                <w:sz w:val="24"/>
                <w:szCs w:val="24"/>
                <w:lang w:val="uk-UA"/>
              </w:rPr>
            </w:pPr>
            <w:r w:rsidRPr="006826F0">
              <w:rPr>
                <w:bCs/>
                <w:sz w:val="24"/>
                <w:szCs w:val="24"/>
                <w:lang w:val="uk-UA"/>
              </w:rPr>
              <w:t>2021-22</w:t>
            </w:r>
          </w:p>
        </w:tc>
        <w:tc>
          <w:tcPr>
            <w:tcW w:w="1340" w:type="dxa"/>
            <w:tcBorders>
              <w:top w:val="nil"/>
              <w:left w:val="nil"/>
              <w:bottom w:val="single" w:sz="4" w:space="0" w:color="auto"/>
              <w:right w:val="single" w:sz="4" w:space="0" w:color="auto"/>
            </w:tcBorders>
            <w:shd w:val="clear" w:color="auto" w:fill="auto"/>
            <w:vAlign w:val="center"/>
          </w:tcPr>
          <w:p w:rsidR="00E6511E" w:rsidRPr="00E118F2" w:rsidRDefault="00E6511E">
            <w:pPr>
              <w:jc w:val="center"/>
              <w:rPr>
                <w:sz w:val="24"/>
                <w:szCs w:val="24"/>
                <w:lang w:val="uk-UA"/>
              </w:rPr>
            </w:pPr>
            <w:r w:rsidRPr="00E118F2">
              <w:rPr>
                <w:sz w:val="24"/>
                <w:szCs w:val="24"/>
                <w:lang w:val="uk-UA"/>
              </w:rPr>
              <w:t>735</w:t>
            </w:r>
          </w:p>
        </w:tc>
        <w:tc>
          <w:tcPr>
            <w:tcW w:w="1340" w:type="dxa"/>
            <w:tcBorders>
              <w:top w:val="nil"/>
              <w:left w:val="nil"/>
              <w:bottom w:val="single" w:sz="4" w:space="0" w:color="auto"/>
              <w:right w:val="single" w:sz="4" w:space="0" w:color="auto"/>
            </w:tcBorders>
            <w:shd w:val="clear" w:color="auto" w:fill="auto"/>
            <w:vAlign w:val="center"/>
          </w:tcPr>
          <w:p w:rsidR="00E6511E" w:rsidRPr="00E118F2" w:rsidRDefault="00E6511E">
            <w:pPr>
              <w:jc w:val="center"/>
              <w:rPr>
                <w:sz w:val="24"/>
                <w:szCs w:val="24"/>
                <w:lang w:val="uk-UA"/>
              </w:rPr>
            </w:pPr>
            <w:r w:rsidRPr="00E118F2">
              <w:rPr>
                <w:sz w:val="24"/>
                <w:szCs w:val="24"/>
                <w:lang w:val="uk-UA"/>
              </w:rPr>
              <w:t>1639</w:t>
            </w:r>
          </w:p>
        </w:tc>
        <w:tc>
          <w:tcPr>
            <w:tcW w:w="1340" w:type="dxa"/>
            <w:tcBorders>
              <w:top w:val="nil"/>
              <w:left w:val="nil"/>
              <w:bottom w:val="single" w:sz="4" w:space="0" w:color="auto"/>
              <w:right w:val="single" w:sz="4" w:space="0" w:color="auto"/>
            </w:tcBorders>
            <w:shd w:val="clear" w:color="auto" w:fill="auto"/>
            <w:noWrap/>
            <w:vAlign w:val="center"/>
          </w:tcPr>
          <w:p w:rsidR="00E6511E" w:rsidRPr="00E118F2" w:rsidRDefault="00E6511E">
            <w:pPr>
              <w:jc w:val="center"/>
              <w:rPr>
                <w:sz w:val="24"/>
                <w:szCs w:val="24"/>
                <w:lang w:val="uk-UA"/>
              </w:rPr>
            </w:pPr>
            <w:r w:rsidRPr="00E118F2">
              <w:rPr>
                <w:sz w:val="24"/>
                <w:szCs w:val="24"/>
                <w:lang w:val="uk-UA"/>
              </w:rPr>
              <w:t>2374</w:t>
            </w:r>
          </w:p>
        </w:tc>
      </w:tr>
      <w:tr w:rsidR="00470A15" w:rsidRPr="00E118F2" w:rsidTr="007F7F7C">
        <w:tc>
          <w:tcPr>
            <w:tcW w:w="3160" w:type="dxa"/>
            <w:tcBorders>
              <w:top w:val="nil"/>
              <w:left w:val="single" w:sz="4" w:space="0" w:color="auto"/>
              <w:bottom w:val="single" w:sz="4" w:space="0" w:color="auto"/>
              <w:right w:val="single" w:sz="4" w:space="0" w:color="auto"/>
            </w:tcBorders>
            <w:shd w:val="clear" w:color="auto" w:fill="auto"/>
            <w:vAlign w:val="center"/>
          </w:tcPr>
          <w:p w:rsidR="00470A15" w:rsidRPr="006826F0" w:rsidRDefault="00470A15" w:rsidP="00D8364E">
            <w:pPr>
              <w:jc w:val="center"/>
              <w:rPr>
                <w:bCs/>
                <w:sz w:val="24"/>
                <w:szCs w:val="24"/>
                <w:lang w:val="uk-UA"/>
              </w:rPr>
            </w:pPr>
            <w:r w:rsidRPr="006826F0">
              <w:rPr>
                <w:bCs/>
                <w:sz w:val="24"/>
                <w:szCs w:val="24"/>
                <w:lang w:val="uk-UA"/>
              </w:rPr>
              <w:t>2022-23</w:t>
            </w:r>
          </w:p>
        </w:tc>
        <w:tc>
          <w:tcPr>
            <w:tcW w:w="1340" w:type="dxa"/>
            <w:tcBorders>
              <w:top w:val="nil"/>
              <w:left w:val="nil"/>
              <w:bottom w:val="single" w:sz="4" w:space="0" w:color="auto"/>
              <w:right w:val="single" w:sz="4" w:space="0" w:color="auto"/>
            </w:tcBorders>
            <w:shd w:val="clear" w:color="auto" w:fill="auto"/>
            <w:vAlign w:val="center"/>
          </w:tcPr>
          <w:p w:rsidR="00470A15" w:rsidRPr="00E118F2" w:rsidRDefault="00470A15" w:rsidP="00D8364E">
            <w:pPr>
              <w:jc w:val="center"/>
              <w:rPr>
                <w:sz w:val="24"/>
                <w:szCs w:val="24"/>
                <w:lang w:val="uk-UA"/>
              </w:rPr>
            </w:pPr>
            <w:r w:rsidRPr="00E118F2">
              <w:rPr>
                <w:sz w:val="24"/>
                <w:szCs w:val="24"/>
                <w:lang w:val="uk-UA"/>
              </w:rPr>
              <w:t>1571</w:t>
            </w:r>
          </w:p>
        </w:tc>
        <w:tc>
          <w:tcPr>
            <w:tcW w:w="1340" w:type="dxa"/>
            <w:tcBorders>
              <w:top w:val="nil"/>
              <w:left w:val="nil"/>
              <w:bottom w:val="single" w:sz="4" w:space="0" w:color="auto"/>
              <w:right w:val="single" w:sz="4" w:space="0" w:color="auto"/>
            </w:tcBorders>
            <w:shd w:val="clear" w:color="auto" w:fill="auto"/>
            <w:vAlign w:val="center"/>
          </w:tcPr>
          <w:p w:rsidR="00470A15" w:rsidRPr="00E118F2" w:rsidRDefault="00470A15" w:rsidP="00D8364E">
            <w:pPr>
              <w:jc w:val="center"/>
              <w:rPr>
                <w:sz w:val="24"/>
                <w:szCs w:val="24"/>
                <w:lang w:val="uk-UA"/>
              </w:rPr>
            </w:pPr>
            <w:r w:rsidRPr="00E118F2">
              <w:rPr>
                <w:sz w:val="24"/>
                <w:szCs w:val="24"/>
                <w:lang w:val="uk-UA"/>
              </w:rPr>
              <w:t>1172</w:t>
            </w:r>
          </w:p>
        </w:tc>
        <w:tc>
          <w:tcPr>
            <w:tcW w:w="1340" w:type="dxa"/>
            <w:tcBorders>
              <w:top w:val="nil"/>
              <w:left w:val="nil"/>
              <w:bottom w:val="single" w:sz="4" w:space="0" w:color="auto"/>
              <w:right w:val="single" w:sz="4" w:space="0" w:color="auto"/>
            </w:tcBorders>
            <w:shd w:val="clear" w:color="auto" w:fill="auto"/>
            <w:noWrap/>
            <w:vAlign w:val="center"/>
          </w:tcPr>
          <w:p w:rsidR="00470A15" w:rsidRPr="00E118F2" w:rsidRDefault="00470A15" w:rsidP="00D8364E">
            <w:pPr>
              <w:jc w:val="center"/>
              <w:rPr>
                <w:sz w:val="24"/>
                <w:szCs w:val="24"/>
                <w:lang w:val="uk-UA"/>
              </w:rPr>
            </w:pPr>
            <w:r w:rsidRPr="00E118F2">
              <w:rPr>
                <w:sz w:val="24"/>
                <w:szCs w:val="24"/>
                <w:lang w:val="uk-UA"/>
              </w:rPr>
              <w:t>2743</w:t>
            </w:r>
          </w:p>
        </w:tc>
      </w:tr>
      <w:tr w:rsidR="00A23B62" w:rsidRPr="00E118F2" w:rsidTr="007F7F7C">
        <w:tc>
          <w:tcPr>
            <w:tcW w:w="3160" w:type="dxa"/>
            <w:tcBorders>
              <w:top w:val="nil"/>
              <w:left w:val="single" w:sz="4" w:space="0" w:color="auto"/>
              <w:bottom w:val="single" w:sz="4" w:space="0" w:color="auto"/>
              <w:right w:val="single" w:sz="4" w:space="0" w:color="auto"/>
            </w:tcBorders>
            <w:shd w:val="clear" w:color="auto" w:fill="auto"/>
            <w:vAlign w:val="center"/>
          </w:tcPr>
          <w:p w:rsidR="00A23B62" w:rsidRPr="006826F0" w:rsidRDefault="00A23B62" w:rsidP="00280BC9">
            <w:pPr>
              <w:jc w:val="center"/>
              <w:rPr>
                <w:bCs/>
                <w:sz w:val="24"/>
                <w:szCs w:val="24"/>
                <w:lang w:val="uk-UA"/>
              </w:rPr>
            </w:pPr>
            <w:r w:rsidRPr="006826F0">
              <w:rPr>
                <w:bCs/>
                <w:sz w:val="24"/>
                <w:szCs w:val="24"/>
                <w:lang w:val="uk-UA"/>
              </w:rPr>
              <w:t>2023-24</w:t>
            </w:r>
          </w:p>
        </w:tc>
        <w:tc>
          <w:tcPr>
            <w:tcW w:w="1340" w:type="dxa"/>
            <w:tcBorders>
              <w:top w:val="nil"/>
              <w:left w:val="nil"/>
              <w:bottom w:val="single" w:sz="4" w:space="0" w:color="auto"/>
              <w:right w:val="single" w:sz="4" w:space="0" w:color="auto"/>
            </w:tcBorders>
            <w:shd w:val="clear" w:color="auto" w:fill="auto"/>
            <w:vAlign w:val="center"/>
          </w:tcPr>
          <w:p w:rsidR="00A23B62" w:rsidRPr="00E118F2" w:rsidRDefault="00A23B62" w:rsidP="00280BC9">
            <w:pPr>
              <w:jc w:val="center"/>
              <w:rPr>
                <w:sz w:val="24"/>
                <w:szCs w:val="24"/>
                <w:lang w:val="uk-UA"/>
              </w:rPr>
            </w:pPr>
            <w:r w:rsidRPr="00E118F2">
              <w:rPr>
                <w:sz w:val="24"/>
                <w:lang w:val="uk-UA"/>
              </w:rPr>
              <w:t>3192</w:t>
            </w:r>
          </w:p>
        </w:tc>
        <w:tc>
          <w:tcPr>
            <w:tcW w:w="1340" w:type="dxa"/>
            <w:tcBorders>
              <w:top w:val="nil"/>
              <w:left w:val="nil"/>
              <w:bottom w:val="single" w:sz="4" w:space="0" w:color="auto"/>
              <w:right w:val="single" w:sz="4" w:space="0" w:color="auto"/>
            </w:tcBorders>
            <w:shd w:val="clear" w:color="auto" w:fill="auto"/>
            <w:vAlign w:val="center"/>
          </w:tcPr>
          <w:p w:rsidR="00A23B62" w:rsidRPr="00E118F2" w:rsidRDefault="00A23B62" w:rsidP="00280BC9">
            <w:pPr>
              <w:jc w:val="center"/>
              <w:rPr>
                <w:sz w:val="24"/>
                <w:szCs w:val="24"/>
                <w:lang w:val="uk-UA"/>
              </w:rPr>
            </w:pPr>
            <w:r w:rsidRPr="00E118F2">
              <w:rPr>
                <w:sz w:val="24"/>
                <w:lang w:val="uk-UA"/>
              </w:rPr>
              <w:t>1185</w:t>
            </w:r>
          </w:p>
        </w:tc>
        <w:tc>
          <w:tcPr>
            <w:tcW w:w="1340" w:type="dxa"/>
            <w:tcBorders>
              <w:top w:val="nil"/>
              <w:left w:val="nil"/>
              <w:bottom w:val="single" w:sz="4" w:space="0" w:color="auto"/>
              <w:right w:val="single" w:sz="4" w:space="0" w:color="auto"/>
            </w:tcBorders>
            <w:shd w:val="clear" w:color="auto" w:fill="auto"/>
            <w:noWrap/>
            <w:vAlign w:val="center"/>
          </w:tcPr>
          <w:p w:rsidR="00A23B62" w:rsidRPr="00E118F2" w:rsidRDefault="00A23B62" w:rsidP="00280BC9">
            <w:pPr>
              <w:jc w:val="center"/>
              <w:rPr>
                <w:sz w:val="24"/>
                <w:szCs w:val="24"/>
                <w:lang w:val="uk-UA"/>
              </w:rPr>
            </w:pPr>
            <w:r w:rsidRPr="00E118F2">
              <w:rPr>
                <w:sz w:val="24"/>
                <w:lang w:val="uk-UA"/>
              </w:rPr>
              <w:t>4377</w:t>
            </w:r>
          </w:p>
        </w:tc>
      </w:tr>
      <w:tr w:rsidR="00F930D2" w:rsidRPr="00E118F2" w:rsidTr="007F7F7C">
        <w:tc>
          <w:tcPr>
            <w:tcW w:w="3160" w:type="dxa"/>
            <w:tcBorders>
              <w:top w:val="nil"/>
              <w:left w:val="single" w:sz="4" w:space="0" w:color="auto"/>
              <w:bottom w:val="single" w:sz="4" w:space="0" w:color="auto"/>
              <w:right w:val="single" w:sz="4" w:space="0" w:color="auto"/>
            </w:tcBorders>
            <w:shd w:val="clear" w:color="auto" w:fill="auto"/>
            <w:vAlign w:val="center"/>
          </w:tcPr>
          <w:p w:rsidR="00F930D2" w:rsidRPr="006826F0" w:rsidRDefault="00F930D2" w:rsidP="003C7A18">
            <w:pPr>
              <w:jc w:val="center"/>
              <w:rPr>
                <w:bCs/>
                <w:sz w:val="24"/>
                <w:szCs w:val="24"/>
                <w:lang w:val="uk-UA"/>
              </w:rPr>
            </w:pPr>
            <w:r w:rsidRPr="006826F0">
              <w:rPr>
                <w:bCs/>
                <w:sz w:val="24"/>
                <w:szCs w:val="24"/>
                <w:lang w:val="uk-UA"/>
              </w:rPr>
              <w:t>2024-25</w:t>
            </w:r>
          </w:p>
        </w:tc>
        <w:tc>
          <w:tcPr>
            <w:tcW w:w="1340" w:type="dxa"/>
            <w:tcBorders>
              <w:top w:val="nil"/>
              <w:left w:val="nil"/>
              <w:bottom w:val="single" w:sz="4" w:space="0" w:color="auto"/>
              <w:right w:val="single" w:sz="4" w:space="0" w:color="auto"/>
            </w:tcBorders>
            <w:shd w:val="clear" w:color="auto" w:fill="auto"/>
            <w:vAlign w:val="center"/>
          </w:tcPr>
          <w:p w:rsidR="00F930D2" w:rsidRPr="00E118F2" w:rsidRDefault="00F930D2" w:rsidP="003C7A18">
            <w:pPr>
              <w:jc w:val="center"/>
              <w:rPr>
                <w:sz w:val="24"/>
                <w:szCs w:val="24"/>
                <w:lang w:val="uk-UA"/>
              </w:rPr>
            </w:pPr>
            <w:r w:rsidRPr="00E118F2">
              <w:rPr>
                <w:sz w:val="24"/>
                <w:szCs w:val="24"/>
                <w:lang w:val="uk-UA"/>
              </w:rPr>
              <w:t>2334</w:t>
            </w:r>
          </w:p>
        </w:tc>
        <w:tc>
          <w:tcPr>
            <w:tcW w:w="1340" w:type="dxa"/>
            <w:tcBorders>
              <w:top w:val="nil"/>
              <w:left w:val="nil"/>
              <w:bottom w:val="single" w:sz="4" w:space="0" w:color="auto"/>
              <w:right w:val="single" w:sz="4" w:space="0" w:color="auto"/>
            </w:tcBorders>
            <w:shd w:val="clear" w:color="auto" w:fill="auto"/>
            <w:vAlign w:val="center"/>
          </w:tcPr>
          <w:p w:rsidR="00F930D2" w:rsidRPr="00E118F2" w:rsidRDefault="00F930D2" w:rsidP="003C7A18">
            <w:pPr>
              <w:jc w:val="center"/>
              <w:rPr>
                <w:sz w:val="24"/>
                <w:szCs w:val="24"/>
                <w:lang w:val="uk-UA"/>
              </w:rPr>
            </w:pPr>
            <w:r w:rsidRPr="00E118F2">
              <w:rPr>
                <w:sz w:val="24"/>
                <w:szCs w:val="24"/>
                <w:lang w:val="uk-UA"/>
              </w:rPr>
              <w:t>838</w:t>
            </w:r>
          </w:p>
        </w:tc>
        <w:tc>
          <w:tcPr>
            <w:tcW w:w="1340" w:type="dxa"/>
            <w:tcBorders>
              <w:top w:val="nil"/>
              <w:left w:val="nil"/>
              <w:bottom w:val="single" w:sz="4" w:space="0" w:color="auto"/>
              <w:right w:val="single" w:sz="4" w:space="0" w:color="auto"/>
            </w:tcBorders>
            <w:shd w:val="clear" w:color="auto" w:fill="auto"/>
            <w:noWrap/>
            <w:vAlign w:val="center"/>
          </w:tcPr>
          <w:p w:rsidR="00F930D2" w:rsidRPr="00E118F2" w:rsidRDefault="00F930D2" w:rsidP="003C7A18">
            <w:pPr>
              <w:jc w:val="center"/>
              <w:rPr>
                <w:sz w:val="24"/>
                <w:szCs w:val="24"/>
                <w:lang w:val="uk-UA"/>
              </w:rPr>
            </w:pPr>
            <w:r w:rsidRPr="00E118F2">
              <w:rPr>
                <w:sz w:val="24"/>
                <w:szCs w:val="24"/>
                <w:lang w:val="uk-UA"/>
              </w:rPr>
              <w:t>3172</w:t>
            </w:r>
          </w:p>
        </w:tc>
      </w:tr>
      <w:tr w:rsidR="00F930D2" w:rsidRPr="00E118F2" w:rsidTr="00A23B62">
        <w:trPr>
          <w:trHeight w:val="91"/>
        </w:trPr>
        <w:tc>
          <w:tcPr>
            <w:tcW w:w="3160" w:type="dxa"/>
            <w:tcBorders>
              <w:top w:val="nil"/>
              <w:left w:val="single" w:sz="4" w:space="0" w:color="auto"/>
              <w:bottom w:val="single" w:sz="4" w:space="0" w:color="auto"/>
              <w:right w:val="single" w:sz="4" w:space="0" w:color="auto"/>
            </w:tcBorders>
            <w:shd w:val="clear" w:color="auto" w:fill="auto"/>
            <w:vAlign w:val="center"/>
          </w:tcPr>
          <w:p w:rsidR="00F930D2" w:rsidRPr="006826F0" w:rsidRDefault="00F930D2" w:rsidP="00470A15">
            <w:pPr>
              <w:jc w:val="center"/>
              <w:rPr>
                <w:bCs/>
                <w:sz w:val="24"/>
                <w:szCs w:val="24"/>
                <w:lang w:val="uk-UA"/>
              </w:rPr>
            </w:pPr>
            <w:r w:rsidRPr="006826F0">
              <w:rPr>
                <w:bCs/>
                <w:sz w:val="24"/>
                <w:szCs w:val="24"/>
                <w:lang w:val="uk-UA"/>
              </w:rPr>
              <w:t>2025-26</w:t>
            </w:r>
          </w:p>
        </w:tc>
        <w:tc>
          <w:tcPr>
            <w:tcW w:w="1340" w:type="dxa"/>
            <w:tcBorders>
              <w:top w:val="nil"/>
              <w:left w:val="nil"/>
              <w:bottom w:val="single" w:sz="4" w:space="0" w:color="auto"/>
              <w:right w:val="single" w:sz="4" w:space="0" w:color="auto"/>
            </w:tcBorders>
            <w:shd w:val="clear" w:color="auto" w:fill="auto"/>
            <w:vAlign w:val="center"/>
          </w:tcPr>
          <w:p w:rsidR="00F930D2" w:rsidRPr="00E118F2" w:rsidRDefault="00F930D2">
            <w:pPr>
              <w:jc w:val="center"/>
              <w:rPr>
                <w:sz w:val="24"/>
                <w:szCs w:val="24"/>
                <w:lang w:val="uk-UA"/>
              </w:rPr>
            </w:pPr>
            <w:r w:rsidRPr="00E118F2">
              <w:rPr>
                <w:sz w:val="24"/>
                <w:szCs w:val="24"/>
                <w:lang w:val="uk-UA"/>
              </w:rPr>
              <w:t>2013</w:t>
            </w:r>
          </w:p>
        </w:tc>
        <w:tc>
          <w:tcPr>
            <w:tcW w:w="1340" w:type="dxa"/>
            <w:tcBorders>
              <w:top w:val="nil"/>
              <w:left w:val="nil"/>
              <w:bottom w:val="single" w:sz="4" w:space="0" w:color="auto"/>
              <w:right w:val="single" w:sz="4" w:space="0" w:color="auto"/>
            </w:tcBorders>
            <w:shd w:val="clear" w:color="auto" w:fill="auto"/>
            <w:vAlign w:val="center"/>
          </w:tcPr>
          <w:p w:rsidR="00F930D2" w:rsidRPr="00E118F2" w:rsidRDefault="00F930D2">
            <w:pPr>
              <w:jc w:val="center"/>
              <w:rPr>
                <w:sz w:val="24"/>
                <w:szCs w:val="24"/>
                <w:lang w:val="uk-UA"/>
              </w:rPr>
            </w:pPr>
            <w:r w:rsidRPr="00E118F2">
              <w:rPr>
                <w:sz w:val="24"/>
                <w:szCs w:val="24"/>
                <w:lang w:val="uk-UA"/>
              </w:rPr>
              <w:t>921</w:t>
            </w:r>
          </w:p>
        </w:tc>
        <w:tc>
          <w:tcPr>
            <w:tcW w:w="1340" w:type="dxa"/>
            <w:tcBorders>
              <w:top w:val="nil"/>
              <w:left w:val="nil"/>
              <w:bottom w:val="single" w:sz="4" w:space="0" w:color="auto"/>
              <w:right w:val="single" w:sz="4" w:space="0" w:color="auto"/>
            </w:tcBorders>
            <w:shd w:val="clear" w:color="auto" w:fill="auto"/>
            <w:noWrap/>
            <w:vAlign w:val="center"/>
          </w:tcPr>
          <w:p w:rsidR="00F930D2" w:rsidRPr="00E118F2" w:rsidRDefault="00F930D2">
            <w:pPr>
              <w:jc w:val="center"/>
              <w:rPr>
                <w:sz w:val="24"/>
                <w:szCs w:val="24"/>
                <w:lang w:val="uk-UA"/>
              </w:rPr>
            </w:pPr>
            <w:r w:rsidRPr="00E118F2">
              <w:rPr>
                <w:sz w:val="24"/>
                <w:szCs w:val="24"/>
                <w:lang w:val="uk-UA"/>
              </w:rPr>
              <w:t>2934</w:t>
            </w:r>
          </w:p>
        </w:tc>
      </w:tr>
    </w:tbl>
    <w:p w:rsidR="007C34A5" w:rsidRPr="00E118F2" w:rsidRDefault="007C34A5" w:rsidP="007C34A5">
      <w:pPr>
        <w:rPr>
          <w:lang w:val="uk-UA"/>
        </w:rPr>
      </w:pPr>
    </w:p>
    <w:p w:rsidR="007C34A5" w:rsidRDefault="007C34A5" w:rsidP="007C34A5">
      <w:pPr>
        <w:ind w:firstLine="709"/>
        <w:jc w:val="center"/>
        <w:rPr>
          <w:b/>
          <w:bCs/>
          <w:sz w:val="28"/>
          <w:szCs w:val="28"/>
          <w:lang w:val="uk-UA"/>
        </w:rPr>
      </w:pPr>
      <w:r w:rsidRPr="00E118F2">
        <w:rPr>
          <w:b/>
          <w:bCs/>
          <w:sz w:val="28"/>
          <w:szCs w:val="28"/>
          <w:lang w:val="uk-UA"/>
        </w:rPr>
        <w:t>Пропозиції до проекту рішення Вченої ради:</w:t>
      </w:r>
    </w:p>
    <w:p w:rsidR="006826F0" w:rsidRPr="00E118F2" w:rsidRDefault="006826F0" w:rsidP="007C34A5">
      <w:pPr>
        <w:ind w:firstLine="709"/>
        <w:jc w:val="center"/>
        <w:rPr>
          <w:b/>
          <w:bCs/>
          <w:sz w:val="28"/>
          <w:szCs w:val="28"/>
          <w:lang w:val="uk-UA"/>
        </w:rPr>
      </w:pPr>
    </w:p>
    <w:p w:rsidR="00E118F2" w:rsidRPr="00E118F2" w:rsidRDefault="00E118F2" w:rsidP="00E118F2">
      <w:pPr>
        <w:ind w:firstLine="709"/>
        <w:jc w:val="both"/>
        <w:rPr>
          <w:sz w:val="28"/>
          <w:szCs w:val="28"/>
          <w:lang w:val="uk-UA"/>
        </w:rPr>
      </w:pPr>
      <w:r w:rsidRPr="00E118F2">
        <w:rPr>
          <w:sz w:val="28"/>
          <w:szCs w:val="28"/>
          <w:lang w:val="uk-UA"/>
        </w:rPr>
        <w:t>1. Інформацію про результати складання зимової заліково-екзаменаційної сесії 2025-2026 навчального року взяти до відома.</w:t>
      </w:r>
    </w:p>
    <w:p w:rsidR="00E118F2" w:rsidRPr="00E118F2" w:rsidRDefault="00E118F2" w:rsidP="00E118F2">
      <w:pPr>
        <w:ind w:firstLine="709"/>
        <w:jc w:val="both"/>
        <w:rPr>
          <w:sz w:val="28"/>
          <w:szCs w:val="28"/>
          <w:lang w:val="uk-UA"/>
        </w:rPr>
      </w:pPr>
      <w:r w:rsidRPr="00E118F2">
        <w:rPr>
          <w:sz w:val="28"/>
          <w:szCs w:val="28"/>
          <w:lang w:val="uk-UA"/>
        </w:rPr>
        <w:t>2. Визнати роботу директорів інститутів, філії КПУ у м. Кременчук та завідувачів кафедр щодо організації та проведення сесії в цілому задовільною.</w:t>
      </w:r>
    </w:p>
    <w:p w:rsidR="00E118F2" w:rsidRPr="00E118F2" w:rsidRDefault="00474CD1" w:rsidP="00E118F2">
      <w:pPr>
        <w:ind w:firstLine="709"/>
        <w:jc w:val="both"/>
        <w:rPr>
          <w:sz w:val="28"/>
          <w:szCs w:val="28"/>
          <w:lang w:val="uk-UA"/>
        </w:rPr>
      </w:pPr>
      <w:r>
        <w:rPr>
          <w:sz w:val="28"/>
          <w:szCs w:val="28"/>
          <w:lang w:val="uk-UA"/>
        </w:rPr>
        <w:t>3</w:t>
      </w:r>
      <w:r w:rsidR="00E118F2" w:rsidRPr="00E118F2">
        <w:rPr>
          <w:sz w:val="28"/>
          <w:szCs w:val="28"/>
          <w:lang w:val="uk-UA"/>
        </w:rPr>
        <w:t>. Завідувачам випускаючих кафедр усіх інститутів проаналізувати причини падіння загального показника якості підготовки. На найближчих засіданнях кафедр розробити дієві заходи для підвищення мотивації студентів та покращення якості засвоєння матеріалу.</w:t>
      </w:r>
    </w:p>
    <w:p w:rsidR="00E118F2" w:rsidRPr="00E118F2" w:rsidRDefault="00474CD1" w:rsidP="00E118F2">
      <w:pPr>
        <w:ind w:firstLine="709"/>
        <w:jc w:val="both"/>
        <w:rPr>
          <w:sz w:val="28"/>
          <w:szCs w:val="28"/>
          <w:lang w:val="uk-UA"/>
        </w:rPr>
      </w:pPr>
      <w:r>
        <w:rPr>
          <w:sz w:val="28"/>
          <w:szCs w:val="28"/>
          <w:lang w:val="uk-UA"/>
        </w:rPr>
        <w:t>4</w:t>
      </w:r>
      <w:r w:rsidR="00E118F2" w:rsidRPr="00E118F2">
        <w:rPr>
          <w:sz w:val="28"/>
          <w:szCs w:val="28"/>
          <w:lang w:val="uk-UA"/>
        </w:rPr>
        <w:t>. Керівництву інститутів активізувати роботу зі студентами-відмінниками, залучаючи їх до наукової діяльності та участі у фахових заходах.</w:t>
      </w:r>
    </w:p>
    <w:p w:rsidR="007C34A5" w:rsidRPr="00E118F2" w:rsidRDefault="00474CD1" w:rsidP="00E118F2">
      <w:pPr>
        <w:ind w:firstLine="709"/>
        <w:jc w:val="both"/>
        <w:rPr>
          <w:sz w:val="28"/>
          <w:szCs w:val="28"/>
          <w:lang w:val="uk-UA"/>
        </w:rPr>
      </w:pPr>
      <w:r>
        <w:rPr>
          <w:sz w:val="28"/>
          <w:szCs w:val="28"/>
          <w:lang w:val="uk-UA"/>
        </w:rPr>
        <w:t>5</w:t>
      </w:r>
      <w:r w:rsidR="00E118F2" w:rsidRPr="00E118F2">
        <w:rPr>
          <w:sz w:val="28"/>
          <w:szCs w:val="28"/>
          <w:lang w:val="uk-UA"/>
        </w:rPr>
        <w:t xml:space="preserve">. Протягом квітня 2026 року директорам інститутів спільно </w:t>
      </w:r>
      <w:r w:rsidR="00E541E5">
        <w:rPr>
          <w:sz w:val="28"/>
          <w:szCs w:val="28"/>
          <w:lang w:val="uk-UA"/>
        </w:rPr>
        <w:t>з</w:t>
      </w:r>
      <w:r w:rsidR="00E118F2" w:rsidRPr="00E118F2">
        <w:rPr>
          <w:sz w:val="28"/>
          <w:szCs w:val="28"/>
          <w:lang w:val="uk-UA"/>
        </w:rPr>
        <w:t xml:space="preserve"> органами студентського самоврядування провести обговорення підсумків зимової сесії.</w:t>
      </w:r>
    </w:p>
    <w:sectPr w:rsidR="007C34A5" w:rsidRPr="00E118F2" w:rsidSect="001C4C07">
      <w:footerReference w:type="even" r:id="rId20"/>
      <w:footerReference w:type="default" r:id="rId21"/>
      <w:pgSz w:w="11906" w:h="16838"/>
      <w:pgMar w:top="709" w:right="1133" w:bottom="142"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737" w:rsidRDefault="00DF4737">
      <w:r>
        <w:separator/>
      </w:r>
    </w:p>
  </w:endnote>
  <w:endnote w:type="continuationSeparator" w:id="0">
    <w:p w:rsidR="00DF4737" w:rsidRDefault="00DF4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FBB" w:rsidRDefault="00E31FBB" w:rsidP="00B10AD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31FBB" w:rsidRDefault="00E31FBB" w:rsidP="00A1432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FBB" w:rsidRDefault="00E31FBB" w:rsidP="00B10AD2">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21596">
      <w:rPr>
        <w:rStyle w:val="a7"/>
        <w:noProof/>
      </w:rPr>
      <w:t>1</w:t>
    </w:r>
    <w:r>
      <w:rPr>
        <w:rStyle w:val="a7"/>
      </w:rPr>
      <w:fldChar w:fldCharType="end"/>
    </w:r>
  </w:p>
  <w:p w:rsidR="00E31FBB" w:rsidRDefault="00E31FBB" w:rsidP="00A1432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737" w:rsidRDefault="00DF4737">
      <w:r>
        <w:separator/>
      </w:r>
    </w:p>
  </w:footnote>
  <w:footnote w:type="continuationSeparator" w:id="0">
    <w:p w:rsidR="00DF4737" w:rsidRDefault="00DF4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0B1"/>
    <w:multiLevelType w:val="hybridMultilevel"/>
    <w:tmpl w:val="B9C89C5C"/>
    <w:lvl w:ilvl="0" w:tplc="0E3211C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45D5787"/>
    <w:multiLevelType w:val="singleLevel"/>
    <w:tmpl w:val="7E8C3B76"/>
    <w:lvl w:ilvl="0">
      <w:start w:val="65535"/>
      <w:numFmt w:val="bullet"/>
      <w:lvlText w:val="-"/>
      <w:legacy w:legacy="1" w:legacySpace="0" w:legacyIndent="115"/>
      <w:lvlJc w:val="left"/>
      <w:rPr>
        <w:rFonts w:ascii="Times New Roman" w:hAnsi="Times New Roman" w:cs="Times New Roman" w:hint="default"/>
      </w:rPr>
    </w:lvl>
  </w:abstractNum>
  <w:abstractNum w:abstractNumId="2">
    <w:nsid w:val="19C3794D"/>
    <w:multiLevelType w:val="singleLevel"/>
    <w:tmpl w:val="0419000F"/>
    <w:lvl w:ilvl="0">
      <w:start w:val="1"/>
      <w:numFmt w:val="decimal"/>
      <w:lvlText w:val="%1."/>
      <w:lvlJc w:val="left"/>
      <w:pPr>
        <w:tabs>
          <w:tab w:val="num" w:pos="360"/>
        </w:tabs>
        <w:ind w:left="360" w:hanging="360"/>
      </w:pPr>
    </w:lvl>
  </w:abstractNum>
  <w:abstractNum w:abstractNumId="3">
    <w:nsid w:val="21917825"/>
    <w:multiLevelType w:val="hybridMultilevel"/>
    <w:tmpl w:val="DF845474"/>
    <w:lvl w:ilvl="0" w:tplc="F95CD9C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16F37EA"/>
    <w:multiLevelType w:val="hybridMultilevel"/>
    <w:tmpl w:val="E986665C"/>
    <w:lvl w:ilvl="0" w:tplc="FFFFFFFF">
      <w:start w:val="1"/>
      <w:numFmt w:val="decimal"/>
      <w:lvlText w:val="%1."/>
      <w:lvlJc w:val="left"/>
      <w:pPr>
        <w:tabs>
          <w:tab w:val="num" w:pos="1069"/>
        </w:tabs>
        <w:ind w:left="1069" w:hanging="360"/>
      </w:pPr>
      <w:rPr>
        <w:rFonts w:hint="default"/>
      </w:rPr>
    </w:lvl>
    <w:lvl w:ilvl="1" w:tplc="FFFFFFFF">
      <w:numFmt w:val="bullet"/>
      <w:lvlText w:val="-"/>
      <w:lvlJc w:val="left"/>
      <w:pPr>
        <w:tabs>
          <w:tab w:val="num" w:pos="2074"/>
        </w:tabs>
        <w:ind w:left="2074" w:hanging="645"/>
      </w:pPr>
      <w:rPr>
        <w:rFonts w:ascii="Times New Roman" w:eastAsia="Times New Roman" w:hAnsi="Times New Roman" w:cs="Times New Roman"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
    <w:nsid w:val="369836AD"/>
    <w:multiLevelType w:val="hybridMultilevel"/>
    <w:tmpl w:val="82AA32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3C6940"/>
    <w:multiLevelType w:val="singleLevel"/>
    <w:tmpl w:val="7E8C3B76"/>
    <w:lvl w:ilvl="0">
      <w:start w:val="65535"/>
      <w:numFmt w:val="bullet"/>
      <w:lvlText w:val="-"/>
      <w:legacy w:legacy="1" w:legacySpace="0" w:legacyIndent="115"/>
      <w:lvlJc w:val="left"/>
      <w:rPr>
        <w:rFonts w:ascii="Times New Roman" w:hAnsi="Times New Roman" w:cs="Times New Roman" w:hint="default"/>
      </w:rPr>
    </w:lvl>
  </w:abstractNum>
  <w:abstractNum w:abstractNumId="7">
    <w:nsid w:val="403A2FFF"/>
    <w:multiLevelType w:val="multilevel"/>
    <w:tmpl w:val="054A38C2"/>
    <w:lvl w:ilvl="0">
      <w:start w:val="7"/>
      <w:numFmt w:val="decimal"/>
      <w:lvlText w:val="%1."/>
      <w:lvlJc w:val="left"/>
      <w:pPr>
        <w:tabs>
          <w:tab w:val="num" w:pos="435"/>
        </w:tabs>
        <w:ind w:left="435" w:hanging="435"/>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46AE37F1"/>
    <w:multiLevelType w:val="hybridMultilevel"/>
    <w:tmpl w:val="CD0038CE"/>
    <w:lvl w:ilvl="0" w:tplc="F95CD9C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2845E7A"/>
    <w:multiLevelType w:val="singleLevel"/>
    <w:tmpl w:val="7E8C3B76"/>
    <w:lvl w:ilvl="0">
      <w:start w:val="65535"/>
      <w:numFmt w:val="bullet"/>
      <w:lvlText w:val="-"/>
      <w:legacy w:legacy="1" w:legacySpace="0" w:legacyIndent="115"/>
      <w:lvlJc w:val="left"/>
      <w:rPr>
        <w:rFonts w:ascii="Times New Roman" w:hAnsi="Times New Roman" w:cs="Times New Roman" w:hint="default"/>
      </w:rPr>
    </w:lvl>
  </w:abstractNum>
  <w:abstractNum w:abstractNumId="10">
    <w:nsid w:val="5EFB031B"/>
    <w:multiLevelType w:val="hybridMultilevel"/>
    <w:tmpl w:val="A6663554"/>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nsid w:val="612F10EB"/>
    <w:multiLevelType w:val="hybridMultilevel"/>
    <w:tmpl w:val="F59A957C"/>
    <w:lvl w:ilvl="0" w:tplc="37EEF9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69286AC2"/>
    <w:multiLevelType w:val="hybridMultilevel"/>
    <w:tmpl w:val="9056CBB6"/>
    <w:lvl w:ilvl="0" w:tplc="5832E6A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A701C7F"/>
    <w:multiLevelType w:val="hybridMultilevel"/>
    <w:tmpl w:val="563E0756"/>
    <w:lvl w:ilvl="0" w:tplc="96829FF0">
      <w:numFmt w:val="bullet"/>
      <w:lvlText w:val="–"/>
      <w:lvlJc w:val="left"/>
      <w:pPr>
        <w:tabs>
          <w:tab w:val="num" w:pos="1155"/>
        </w:tabs>
        <w:ind w:left="1155" w:hanging="360"/>
      </w:pPr>
      <w:rPr>
        <w:rFonts w:ascii="Times New Roman" w:eastAsia="Times New Roman" w:hAnsi="Times New Roman" w:cs="Times New Roman"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6E2A10C6"/>
    <w:multiLevelType w:val="singleLevel"/>
    <w:tmpl w:val="7E8C3B76"/>
    <w:lvl w:ilvl="0">
      <w:start w:val="65535"/>
      <w:numFmt w:val="bullet"/>
      <w:lvlText w:val="-"/>
      <w:legacy w:legacy="1" w:legacySpace="0" w:legacyIndent="115"/>
      <w:lvlJc w:val="left"/>
      <w:rPr>
        <w:rFonts w:ascii="Times New Roman" w:hAnsi="Times New Roman" w:cs="Times New Roman" w:hint="default"/>
      </w:rPr>
    </w:lvl>
  </w:abstractNum>
  <w:num w:numId="1">
    <w:abstractNumId w:val="14"/>
  </w:num>
  <w:num w:numId="2">
    <w:abstractNumId w:val="2"/>
  </w:num>
  <w:num w:numId="3">
    <w:abstractNumId w:val="9"/>
  </w:num>
  <w:num w:numId="4">
    <w:abstractNumId w:val="1"/>
  </w:num>
  <w:num w:numId="5">
    <w:abstractNumId w:val="6"/>
  </w:num>
  <w:num w:numId="6">
    <w:abstractNumId w:val="10"/>
  </w:num>
  <w:num w:numId="7">
    <w:abstractNumId w:val="0"/>
  </w:num>
  <w:num w:numId="8">
    <w:abstractNumId w:val="4"/>
  </w:num>
  <w:num w:numId="9">
    <w:abstractNumId w:val="11"/>
  </w:num>
  <w:num w:numId="10">
    <w:abstractNumId w:val="5"/>
  </w:num>
  <w:num w:numId="11">
    <w:abstractNumId w:val="13"/>
  </w:num>
  <w:num w:numId="12">
    <w:abstractNumId w:val="7"/>
  </w:num>
  <w:num w:numId="13">
    <w:abstractNumId w:val="12"/>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C0C"/>
    <w:rsid w:val="00001FE8"/>
    <w:rsid w:val="00010A13"/>
    <w:rsid w:val="0001375B"/>
    <w:rsid w:val="00016587"/>
    <w:rsid w:val="00021DFC"/>
    <w:rsid w:val="00026927"/>
    <w:rsid w:val="00033895"/>
    <w:rsid w:val="00034014"/>
    <w:rsid w:val="00053641"/>
    <w:rsid w:val="00054D0E"/>
    <w:rsid w:val="00063E0C"/>
    <w:rsid w:val="00073782"/>
    <w:rsid w:val="00082713"/>
    <w:rsid w:val="00085537"/>
    <w:rsid w:val="00086118"/>
    <w:rsid w:val="0009154F"/>
    <w:rsid w:val="000A066B"/>
    <w:rsid w:val="000A1E4B"/>
    <w:rsid w:val="000A300D"/>
    <w:rsid w:val="000A66E0"/>
    <w:rsid w:val="000B28B6"/>
    <w:rsid w:val="000B3FCF"/>
    <w:rsid w:val="000B5C42"/>
    <w:rsid w:val="000C082E"/>
    <w:rsid w:val="000C19B2"/>
    <w:rsid w:val="000C2D48"/>
    <w:rsid w:val="000C2F5E"/>
    <w:rsid w:val="000C652E"/>
    <w:rsid w:val="000D12CF"/>
    <w:rsid w:val="000D71F0"/>
    <w:rsid w:val="000E11F2"/>
    <w:rsid w:val="000E17AC"/>
    <w:rsid w:val="000E47B1"/>
    <w:rsid w:val="000E641E"/>
    <w:rsid w:val="000E7B2E"/>
    <w:rsid w:val="000F0DA5"/>
    <w:rsid w:val="000F16B3"/>
    <w:rsid w:val="000F50C6"/>
    <w:rsid w:val="000F5D55"/>
    <w:rsid w:val="000F6FB3"/>
    <w:rsid w:val="00101807"/>
    <w:rsid w:val="0011579A"/>
    <w:rsid w:val="00117D9D"/>
    <w:rsid w:val="00124890"/>
    <w:rsid w:val="00131051"/>
    <w:rsid w:val="001354C8"/>
    <w:rsid w:val="001360ED"/>
    <w:rsid w:val="00137064"/>
    <w:rsid w:val="00141FB5"/>
    <w:rsid w:val="0014617F"/>
    <w:rsid w:val="00154153"/>
    <w:rsid w:val="00161BCC"/>
    <w:rsid w:val="00163133"/>
    <w:rsid w:val="00165CED"/>
    <w:rsid w:val="00166150"/>
    <w:rsid w:val="001706D4"/>
    <w:rsid w:val="00181C9B"/>
    <w:rsid w:val="001838A5"/>
    <w:rsid w:val="00184F6E"/>
    <w:rsid w:val="00187072"/>
    <w:rsid w:val="0019054C"/>
    <w:rsid w:val="00193CBF"/>
    <w:rsid w:val="0019502E"/>
    <w:rsid w:val="001A04AE"/>
    <w:rsid w:val="001A2492"/>
    <w:rsid w:val="001B5349"/>
    <w:rsid w:val="001C4C07"/>
    <w:rsid w:val="001C50CE"/>
    <w:rsid w:val="001C7469"/>
    <w:rsid w:val="001D135E"/>
    <w:rsid w:val="001D5EF7"/>
    <w:rsid w:val="001E4838"/>
    <w:rsid w:val="001E4B5D"/>
    <w:rsid w:val="001F2E33"/>
    <w:rsid w:val="001F2E38"/>
    <w:rsid w:val="001F6A03"/>
    <w:rsid w:val="00202B91"/>
    <w:rsid w:val="00203768"/>
    <w:rsid w:val="002060CA"/>
    <w:rsid w:val="00213CBF"/>
    <w:rsid w:val="0021448F"/>
    <w:rsid w:val="002158B1"/>
    <w:rsid w:val="00217ED2"/>
    <w:rsid w:val="00221B1E"/>
    <w:rsid w:val="00224A5E"/>
    <w:rsid w:val="00224C8F"/>
    <w:rsid w:val="00226B8F"/>
    <w:rsid w:val="00231C92"/>
    <w:rsid w:val="00233C94"/>
    <w:rsid w:val="00242219"/>
    <w:rsid w:val="0024576A"/>
    <w:rsid w:val="00247C6D"/>
    <w:rsid w:val="00250595"/>
    <w:rsid w:val="00255421"/>
    <w:rsid w:val="002571D4"/>
    <w:rsid w:val="002606BA"/>
    <w:rsid w:val="0026667A"/>
    <w:rsid w:val="00280539"/>
    <w:rsid w:val="002805FB"/>
    <w:rsid w:val="00283B7C"/>
    <w:rsid w:val="00283D03"/>
    <w:rsid w:val="00285E72"/>
    <w:rsid w:val="00286D2B"/>
    <w:rsid w:val="00291302"/>
    <w:rsid w:val="002952D9"/>
    <w:rsid w:val="002A1AEB"/>
    <w:rsid w:val="002A1E51"/>
    <w:rsid w:val="002A3C80"/>
    <w:rsid w:val="002A3CBC"/>
    <w:rsid w:val="002A4C86"/>
    <w:rsid w:val="002A56E9"/>
    <w:rsid w:val="002A6E81"/>
    <w:rsid w:val="002B794A"/>
    <w:rsid w:val="002C1772"/>
    <w:rsid w:val="002C282D"/>
    <w:rsid w:val="002C3047"/>
    <w:rsid w:val="002C7188"/>
    <w:rsid w:val="002D5233"/>
    <w:rsid w:val="002E3190"/>
    <w:rsid w:val="002E4446"/>
    <w:rsid w:val="002E4DAB"/>
    <w:rsid w:val="002E5232"/>
    <w:rsid w:val="002E58DF"/>
    <w:rsid w:val="002E6341"/>
    <w:rsid w:val="002F4FF4"/>
    <w:rsid w:val="00302674"/>
    <w:rsid w:val="0030650B"/>
    <w:rsid w:val="00307478"/>
    <w:rsid w:val="00310289"/>
    <w:rsid w:val="00310525"/>
    <w:rsid w:val="003105F1"/>
    <w:rsid w:val="003109F3"/>
    <w:rsid w:val="00313132"/>
    <w:rsid w:val="00313677"/>
    <w:rsid w:val="00315ED8"/>
    <w:rsid w:val="0031746E"/>
    <w:rsid w:val="00331181"/>
    <w:rsid w:val="003319E9"/>
    <w:rsid w:val="0034168D"/>
    <w:rsid w:val="00342E3F"/>
    <w:rsid w:val="00344582"/>
    <w:rsid w:val="00347A67"/>
    <w:rsid w:val="00353B66"/>
    <w:rsid w:val="00355488"/>
    <w:rsid w:val="00356C7E"/>
    <w:rsid w:val="00357388"/>
    <w:rsid w:val="00357601"/>
    <w:rsid w:val="00362AB0"/>
    <w:rsid w:val="00375671"/>
    <w:rsid w:val="003839AD"/>
    <w:rsid w:val="003840EB"/>
    <w:rsid w:val="003843D8"/>
    <w:rsid w:val="00391F0C"/>
    <w:rsid w:val="00394A97"/>
    <w:rsid w:val="003954D5"/>
    <w:rsid w:val="0039612A"/>
    <w:rsid w:val="003A2303"/>
    <w:rsid w:val="003A5A4B"/>
    <w:rsid w:val="003B067E"/>
    <w:rsid w:val="003B311A"/>
    <w:rsid w:val="003B71D0"/>
    <w:rsid w:val="003B7507"/>
    <w:rsid w:val="003C2C0C"/>
    <w:rsid w:val="003D14B3"/>
    <w:rsid w:val="003D3994"/>
    <w:rsid w:val="003D5622"/>
    <w:rsid w:val="003D5811"/>
    <w:rsid w:val="003D7487"/>
    <w:rsid w:val="003E1A7C"/>
    <w:rsid w:val="003E366F"/>
    <w:rsid w:val="003E7136"/>
    <w:rsid w:val="003F1AAE"/>
    <w:rsid w:val="003F2CE3"/>
    <w:rsid w:val="003F31AD"/>
    <w:rsid w:val="003F73F3"/>
    <w:rsid w:val="004052EF"/>
    <w:rsid w:val="00405546"/>
    <w:rsid w:val="004130E7"/>
    <w:rsid w:val="00415848"/>
    <w:rsid w:val="00417B03"/>
    <w:rsid w:val="00422765"/>
    <w:rsid w:val="00434D14"/>
    <w:rsid w:val="00435E9A"/>
    <w:rsid w:val="00442853"/>
    <w:rsid w:val="00445FCE"/>
    <w:rsid w:val="00446375"/>
    <w:rsid w:val="00446721"/>
    <w:rsid w:val="004467DF"/>
    <w:rsid w:val="00447120"/>
    <w:rsid w:val="00447978"/>
    <w:rsid w:val="00451108"/>
    <w:rsid w:val="00454194"/>
    <w:rsid w:val="004552CB"/>
    <w:rsid w:val="00461FFB"/>
    <w:rsid w:val="004652DE"/>
    <w:rsid w:val="00470A15"/>
    <w:rsid w:val="0047182B"/>
    <w:rsid w:val="00474CD1"/>
    <w:rsid w:val="00476A87"/>
    <w:rsid w:val="00477818"/>
    <w:rsid w:val="00485755"/>
    <w:rsid w:val="00491D35"/>
    <w:rsid w:val="00492481"/>
    <w:rsid w:val="004935F8"/>
    <w:rsid w:val="00495F72"/>
    <w:rsid w:val="004A1F8E"/>
    <w:rsid w:val="004A2B11"/>
    <w:rsid w:val="004B3885"/>
    <w:rsid w:val="004B7984"/>
    <w:rsid w:val="004C139B"/>
    <w:rsid w:val="004C53E4"/>
    <w:rsid w:val="004D2B89"/>
    <w:rsid w:val="004E0953"/>
    <w:rsid w:val="004E5BAE"/>
    <w:rsid w:val="004F015A"/>
    <w:rsid w:val="004F06B6"/>
    <w:rsid w:val="00502E43"/>
    <w:rsid w:val="00503DCB"/>
    <w:rsid w:val="00511E6C"/>
    <w:rsid w:val="005274EB"/>
    <w:rsid w:val="00533415"/>
    <w:rsid w:val="00535C16"/>
    <w:rsid w:val="005369E3"/>
    <w:rsid w:val="0054038B"/>
    <w:rsid w:val="00554066"/>
    <w:rsid w:val="00560EE8"/>
    <w:rsid w:val="00561501"/>
    <w:rsid w:val="00562DDB"/>
    <w:rsid w:val="00572AC0"/>
    <w:rsid w:val="00574707"/>
    <w:rsid w:val="00575573"/>
    <w:rsid w:val="005865EA"/>
    <w:rsid w:val="00590A77"/>
    <w:rsid w:val="0059239F"/>
    <w:rsid w:val="00593CF7"/>
    <w:rsid w:val="00594E69"/>
    <w:rsid w:val="005A16E9"/>
    <w:rsid w:val="005A4AE8"/>
    <w:rsid w:val="005A61B2"/>
    <w:rsid w:val="005A67B3"/>
    <w:rsid w:val="005B1EDC"/>
    <w:rsid w:val="005B5DD4"/>
    <w:rsid w:val="005B72E7"/>
    <w:rsid w:val="005B736E"/>
    <w:rsid w:val="005C4FFF"/>
    <w:rsid w:val="005C569A"/>
    <w:rsid w:val="005D15B5"/>
    <w:rsid w:val="005D3240"/>
    <w:rsid w:val="005D61ED"/>
    <w:rsid w:val="005D682D"/>
    <w:rsid w:val="005D69EC"/>
    <w:rsid w:val="005D7378"/>
    <w:rsid w:val="005E23F0"/>
    <w:rsid w:val="005E47F4"/>
    <w:rsid w:val="005E7BA4"/>
    <w:rsid w:val="005F50C1"/>
    <w:rsid w:val="00600945"/>
    <w:rsid w:val="00601619"/>
    <w:rsid w:val="00601647"/>
    <w:rsid w:val="00606A19"/>
    <w:rsid w:val="0061161A"/>
    <w:rsid w:val="006272AF"/>
    <w:rsid w:val="0063007B"/>
    <w:rsid w:val="00637FC8"/>
    <w:rsid w:val="006413A3"/>
    <w:rsid w:val="006418B1"/>
    <w:rsid w:val="006427F7"/>
    <w:rsid w:val="00642B53"/>
    <w:rsid w:val="0064601E"/>
    <w:rsid w:val="006500D4"/>
    <w:rsid w:val="006643BC"/>
    <w:rsid w:val="00666ACC"/>
    <w:rsid w:val="006673F8"/>
    <w:rsid w:val="00673B4F"/>
    <w:rsid w:val="00675D77"/>
    <w:rsid w:val="006826F0"/>
    <w:rsid w:val="00683B33"/>
    <w:rsid w:val="00685379"/>
    <w:rsid w:val="0068647B"/>
    <w:rsid w:val="006905D3"/>
    <w:rsid w:val="00690A82"/>
    <w:rsid w:val="0069247F"/>
    <w:rsid w:val="00697EE0"/>
    <w:rsid w:val="006A05EB"/>
    <w:rsid w:val="006A0ECE"/>
    <w:rsid w:val="006A15CA"/>
    <w:rsid w:val="006A39EF"/>
    <w:rsid w:val="006A5664"/>
    <w:rsid w:val="006B44AC"/>
    <w:rsid w:val="006B752D"/>
    <w:rsid w:val="006C24BE"/>
    <w:rsid w:val="006C461E"/>
    <w:rsid w:val="006C549C"/>
    <w:rsid w:val="006C6F86"/>
    <w:rsid w:val="006D0283"/>
    <w:rsid w:val="006D1372"/>
    <w:rsid w:val="006E1656"/>
    <w:rsid w:val="006E539B"/>
    <w:rsid w:val="006E6994"/>
    <w:rsid w:val="006E6EA3"/>
    <w:rsid w:val="006E7F12"/>
    <w:rsid w:val="006F04D8"/>
    <w:rsid w:val="006F65AA"/>
    <w:rsid w:val="006F7F21"/>
    <w:rsid w:val="00701554"/>
    <w:rsid w:val="0070355A"/>
    <w:rsid w:val="00706C99"/>
    <w:rsid w:val="00711320"/>
    <w:rsid w:val="007113B1"/>
    <w:rsid w:val="00715C91"/>
    <w:rsid w:val="00722F1F"/>
    <w:rsid w:val="00736472"/>
    <w:rsid w:val="00736ECB"/>
    <w:rsid w:val="0073761E"/>
    <w:rsid w:val="0074018F"/>
    <w:rsid w:val="00741183"/>
    <w:rsid w:val="00742FB6"/>
    <w:rsid w:val="00746201"/>
    <w:rsid w:val="00750C7E"/>
    <w:rsid w:val="00753CDA"/>
    <w:rsid w:val="00755922"/>
    <w:rsid w:val="007568F6"/>
    <w:rsid w:val="007620F1"/>
    <w:rsid w:val="00763F26"/>
    <w:rsid w:val="00765CFC"/>
    <w:rsid w:val="00766D14"/>
    <w:rsid w:val="00776B77"/>
    <w:rsid w:val="00782C5A"/>
    <w:rsid w:val="00785686"/>
    <w:rsid w:val="00791C9F"/>
    <w:rsid w:val="00792709"/>
    <w:rsid w:val="00793C6F"/>
    <w:rsid w:val="0079538E"/>
    <w:rsid w:val="007A56D2"/>
    <w:rsid w:val="007A5BAB"/>
    <w:rsid w:val="007B08D7"/>
    <w:rsid w:val="007B4F71"/>
    <w:rsid w:val="007B514C"/>
    <w:rsid w:val="007B612D"/>
    <w:rsid w:val="007B6369"/>
    <w:rsid w:val="007B6B6C"/>
    <w:rsid w:val="007C19B6"/>
    <w:rsid w:val="007C34A5"/>
    <w:rsid w:val="007C5146"/>
    <w:rsid w:val="007C65F0"/>
    <w:rsid w:val="007D5F5A"/>
    <w:rsid w:val="007D7879"/>
    <w:rsid w:val="007E0E83"/>
    <w:rsid w:val="007E4543"/>
    <w:rsid w:val="007E59DF"/>
    <w:rsid w:val="007E5CEC"/>
    <w:rsid w:val="007E6567"/>
    <w:rsid w:val="007E729B"/>
    <w:rsid w:val="007F04C9"/>
    <w:rsid w:val="007F0CEB"/>
    <w:rsid w:val="007F58EA"/>
    <w:rsid w:val="008045FB"/>
    <w:rsid w:val="00804BDB"/>
    <w:rsid w:val="008104C8"/>
    <w:rsid w:val="00810690"/>
    <w:rsid w:val="008110D5"/>
    <w:rsid w:val="00812916"/>
    <w:rsid w:val="00820B2A"/>
    <w:rsid w:val="00820C25"/>
    <w:rsid w:val="00825953"/>
    <w:rsid w:val="008320A1"/>
    <w:rsid w:val="008330F1"/>
    <w:rsid w:val="00833D9B"/>
    <w:rsid w:val="008371F6"/>
    <w:rsid w:val="00841DD0"/>
    <w:rsid w:val="0084243A"/>
    <w:rsid w:val="00844B86"/>
    <w:rsid w:val="00850CCB"/>
    <w:rsid w:val="00851054"/>
    <w:rsid w:val="00861BDC"/>
    <w:rsid w:val="00865848"/>
    <w:rsid w:val="008765B4"/>
    <w:rsid w:val="00883244"/>
    <w:rsid w:val="00884655"/>
    <w:rsid w:val="008866FD"/>
    <w:rsid w:val="00891EAC"/>
    <w:rsid w:val="0089230B"/>
    <w:rsid w:val="008A43F2"/>
    <w:rsid w:val="008A56A0"/>
    <w:rsid w:val="008A75EC"/>
    <w:rsid w:val="008B2CE4"/>
    <w:rsid w:val="008B68A4"/>
    <w:rsid w:val="008D1A7B"/>
    <w:rsid w:val="008E21EB"/>
    <w:rsid w:val="008E28C2"/>
    <w:rsid w:val="008E406F"/>
    <w:rsid w:val="008E62EC"/>
    <w:rsid w:val="008E7058"/>
    <w:rsid w:val="008F3672"/>
    <w:rsid w:val="008F4E5A"/>
    <w:rsid w:val="008F6493"/>
    <w:rsid w:val="008F6D23"/>
    <w:rsid w:val="00910C91"/>
    <w:rsid w:val="00911643"/>
    <w:rsid w:val="009132BA"/>
    <w:rsid w:val="00920C42"/>
    <w:rsid w:val="0092352E"/>
    <w:rsid w:val="009254F3"/>
    <w:rsid w:val="00926BD7"/>
    <w:rsid w:val="00941604"/>
    <w:rsid w:val="00944522"/>
    <w:rsid w:val="00944BF0"/>
    <w:rsid w:val="00951D93"/>
    <w:rsid w:val="0095226F"/>
    <w:rsid w:val="0095238E"/>
    <w:rsid w:val="00964084"/>
    <w:rsid w:val="009716CB"/>
    <w:rsid w:val="00971D0A"/>
    <w:rsid w:val="00983BDF"/>
    <w:rsid w:val="00985EBB"/>
    <w:rsid w:val="009919E7"/>
    <w:rsid w:val="00991C56"/>
    <w:rsid w:val="00996377"/>
    <w:rsid w:val="009A3C7C"/>
    <w:rsid w:val="009B2205"/>
    <w:rsid w:val="009B2E87"/>
    <w:rsid w:val="009B30A1"/>
    <w:rsid w:val="009B4453"/>
    <w:rsid w:val="009C240E"/>
    <w:rsid w:val="009D1DC8"/>
    <w:rsid w:val="009D3DFB"/>
    <w:rsid w:val="009D7E89"/>
    <w:rsid w:val="009E4EEA"/>
    <w:rsid w:val="009F0BE6"/>
    <w:rsid w:val="009F28BA"/>
    <w:rsid w:val="009F5A8F"/>
    <w:rsid w:val="00A11DAC"/>
    <w:rsid w:val="00A123D2"/>
    <w:rsid w:val="00A1432F"/>
    <w:rsid w:val="00A202E6"/>
    <w:rsid w:val="00A21596"/>
    <w:rsid w:val="00A22746"/>
    <w:rsid w:val="00A22E9F"/>
    <w:rsid w:val="00A238AC"/>
    <w:rsid w:val="00A23B62"/>
    <w:rsid w:val="00A260BD"/>
    <w:rsid w:val="00A34D48"/>
    <w:rsid w:val="00A367AB"/>
    <w:rsid w:val="00A513A3"/>
    <w:rsid w:val="00A53C76"/>
    <w:rsid w:val="00A6255A"/>
    <w:rsid w:val="00A654E9"/>
    <w:rsid w:val="00A66C5E"/>
    <w:rsid w:val="00A67816"/>
    <w:rsid w:val="00A7238C"/>
    <w:rsid w:val="00A76663"/>
    <w:rsid w:val="00A770A2"/>
    <w:rsid w:val="00A774B1"/>
    <w:rsid w:val="00A77F9B"/>
    <w:rsid w:val="00A84480"/>
    <w:rsid w:val="00A849CA"/>
    <w:rsid w:val="00A86447"/>
    <w:rsid w:val="00A90BDC"/>
    <w:rsid w:val="00A92EC6"/>
    <w:rsid w:val="00A95D00"/>
    <w:rsid w:val="00AA41EA"/>
    <w:rsid w:val="00AA6CD0"/>
    <w:rsid w:val="00AB24C6"/>
    <w:rsid w:val="00AB3462"/>
    <w:rsid w:val="00AB56B0"/>
    <w:rsid w:val="00AB6C35"/>
    <w:rsid w:val="00AB762B"/>
    <w:rsid w:val="00AB7AC2"/>
    <w:rsid w:val="00AC5472"/>
    <w:rsid w:val="00AE7ED9"/>
    <w:rsid w:val="00AF2CC8"/>
    <w:rsid w:val="00AF6A22"/>
    <w:rsid w:val="00B03094"/>
    <w:rsid w:val="00B077FE"/>
    <w:rsid w:val="00B10AD2"/>
    <w:rsid w:val="00B15D36"/>
    <w:rsid w:val="00B21C62"/>
    <w:rsid w:val="00B30256"/>
    <w:rsid w:val="00B3098B"/>
    <w:rsid w:val="00B32B7D"/>
    <w:rsid w:val="00B37E51"/>
    <w:rsid w:val="00B40FAA"/>
    <w:rsid w:val="00B42BB4"/>
    <w:rsid w:val="00B43F15"/>
    <w:rsid w:val="00B45664"/>
    <w:rsid w:val="00B45C1D"/>
    <w:rsid w:val="00B47128"/>
    <w:rsid w:val="00B4732A"/>
    <w:rsid w:val="00B516DA"/>
    <w:rsid w:val="00B625B9"/>
    <w:rsid w:val="00B70A95"/>
    <w:rsid w:val="00B75615"/>
    <w:rsid w:val="00B757AC"/>
    <w:rsid w:val="00B772FD"/>
    <w:rsid w:val="00B8089C"/>
    <w:rsid w:val="00B81302"/>
    <w:rsid w:val="00B859F4"/>
    <w:rsid w:val="00B876BE"/>
    <w:rsid w:val="00B92554"/>
    <w:rsid w:val="00B9603F"/>
    <w:rsid w:val="00B9693F"/>
    <w:rsid w:val="00B973CC"/>
    <w:rsid w:val="00BA1C05"/>
    <w:rsid w:val="00BA3C84"/>
    <w:rsid w:val="00BA7225"/>
    <w:rsid w:val="00BA7D09"/>
    <w:rsid w:val="00BC176B"/>
    <w:rsid w:val="00BC23B1"/>
    <w:rsid w:val="00BC2BD5"/>
    <w:rsid w:val="00BC3519"/>
    <w:rsid w:val="00BC6B4A"/>
    <w:rsid w:val="00BC7A47"/>
    <w:rsid w:val="00BD0EFC"/>
    <w:rsid w:val="00BD1499"/>
    <w:rsid w:val="00BD2543"/>
    <w:rsid w:val="00BE5F36"/>
    <w:rsid w:val="00C00850"/>
    <w:rsid w:val="00C02B04"/>
    <w:rsid w:val="00C068FB"/>
    <w:rsid w:val="00C07F47"/>
    <w:rsid w:val="00C12116"/>
    <w:rsid w:val="00C14C9E"/>
    <w:rsid w:val="00C16CCA"/>
    <w:rsid w:val="00C20DE2"/>
    <w:rsid w:val="00C24447"/>
    <w:rsid w:val="00C26230"/>
    <w:rsid w:val="00C3262D"/>
    <w:rsid w:val="00C35480"/>
    <w:rsid w:val="00C40ADF"/>
    <w:rsid w:val="00C44E15"/>
    <w:rsid w:val="00C46B84"/>
    <w:rsid w:val="00C53CE7"/>
    <w:rsid w:val="00C608AB"/>
    <w:rsid w:val="00C65517"/>
    <w:rsid w:val="00C66599"/>
    <w:rsid w:val="00C673E6"/>
    <w:rsid w:val="00C712FB"/>
    <w:rsid w:val="00C72159"/>
    <w:rsid w:val="00C77E6F"/>
    <w:rsid w:val="00C829F0"/>
    <w:rsid w:val="00C840AD"/>
    <w:rsid w:val="00C909A6"/>
    <w:rsid w:val="00CA2560"/>
    <w:rsid w:val="00CB386D"/>
    <w:rsid w:val="00CB5484"/>
    <w:rsid w:val="00CB63F8"/>
    <w:rsid w:val="00CC04CD"/>
    <w:rsid w:val="00CE3874"/>
    <w:rsid w:val="00CF1F30"/>
    <w:rsid w:val="00CF3E77"/>
    <w:rsid w:val="00CF6627"/>
    <w:rsid w:val="00CF695E"/>
    <w:rsid w:val="00D00BB9"/>
    <w:rsid w:val="00D01A19"/>
    <w:rsid w:val="00D0389F"/>
    <w:rsid w:val="00D17154"/>
    <w:rsid w:val="00D2774D"/>
    <w:rsid w:val="00D315E3"/>
    <w:rsid w:val="00D357AC"/>
    <w:rsid w:val="00D405A6"/>
    <w:rsid w:val="00D41BAB"/>
    <w:rsid w:val="00D41DE6"/>
    <w:rsid w:val="00D44617"/>
    <w:rsid w:val="00D44F8C"/>
    <w:rsid w:val="00D462A1"/>
    <w:rsid w:val="00D507BA"/>
    <w:rsid w:val="00D52578"/>
    <w:rsid w:val="00D52CFF"/>
    <w:rsid w:val="00D57626"/>
    <w:rsid w:val="00D62579"/>
    <w:rsid w:val="00D63425"/>
    <w:rsid w:val="00D64917"/>
    <w:rsid w:val="00D64F60"/>
    <w:rsid w:val="00D66A51"/>
    <w:rsid w:val="00D72728"/>
    <w:rsid w:val="00D73430"/>
    <w:rsid w:val="00D7517E"/>
    <w:rsid w:val="00D94C4F"/>
    <w:rsid w:val="00D95B2C"/>
    <w:rsid w:val="00D96CC0"/>
    <w:rsid w:val="00DA3C5A"/>
    <w:rsid w:val="00DB3942"/>
    <w:rsid w:val="00DB49AF"/>
    <w:rsid w:val="00DB5ADC"/>
    <w:rsid w:val="00DC3AAD"/>
    <w:rsid w:val="00DC7629"/>
    <w:rsid w:val="00DD15F1"/>
    <w:rsid w:val="00DD1DBA"/>
    <w:rsid w:val="00DD7551"/>
    <w:rsid w:val="00DE32BD"/>
    <w:rsid w:val="00DE5D09"/>
    <w:rsid w:val="00DF1048"/>
    <w:rsid w:val="00DF19C9"/>
    <w:rsid w:val="00DF4737"/>
    <w:rsid w:val="00DF5FF4"/>
    <w:rsid w:val="00DF731E"/>
    <w:rsid w:val="00E049D4"/>
    <w:rsid w:val="00E118C2"/>
    <w:rsid w:val="00E118F2"/>
    <w:rsid w:val="00E1772A"/>
    <w:rsid w:val="00E24CF2"/>
    <w:rsid w:val="00E31FBB"/>
    <w:rsid w:val="00E32F35"/>
    <w:rsid w:val="00E353CB"/>
    <w:rsid w:val="00E3557E"/>
    <w:rsid w:val="00E436E6"/>
    <w:rsid w:val="00E43822"/>
    <w:rsid w:val="00E47521"/>
    <w:rsid w:val="00E532F2"/>
    <w:rsid w:val="00E541E5"/>
    <w:rsid w:val="00E628E6"/>
    <w:rsid w:val="00E62B0D"/>
    <w:rsid w:val="00E63B71"/>
    <w:rsid w:val="00E6511E"/>
    <w:rsid w:val="00E65A08"/>
    <w:rsid w:val="00E77B89"/>
    <w:rsid w:val="00E77BD2"/>
    <w:rsid w:val="00E8226D"/>
    <w:rsid w:val="00E8471A"/>
    <w:rsid w:val="00E874C2"/>
    <w:rsid w:val="00E924CB"/>
    <w:rsid w:val="00E9636B"/>
    <w:rsid w:val="00EA038F"/>
    <w:rsid w:val="00EA47F0"/>
    <w:rsid w:val="00EA4998"/>
    <w:rsid w:val="00EB2358"/>
    <w:rsid w:val="00EB2EE9"/>
    <w:rsid w:val="00EB7B84"/>
    <w:rsid w:val="00EC1395"/>
    <w:rsid w:val="00EC744A"/>
    <w:rsid w:val="00ED3943"/>
    <w:rsid w:val="00ED41B2"/>
    <w:rsid w:val="00ED520C"/>
    <w:rsid w:val="00EF0884"/>
    <w:rsid w:val="00EF2063"/>
    <w:rsid w:val="00F01865"/>
    <w:rsid w:val="00F02F06"/>
    <w:rsid w:val="00F06AFB"/>
    <w:rsid w:val="00F110D5"/>
    <w:rsid w:val="00F152C5"/>
    <w:rsid w:val="00F23440"/>
    <w:rsid w:val="00F237C0"/>
    <w:rsid w:val="00F30442"/>
    <w:rsid w:val="00F30AAB"/>
    <w:rsid w:val="00F32856"/>
    <w:rsid w:val="00F40670"/>
    <w:rsid w:val="00F422FE"/>
    <w:rsid w:val="00F461B5"/>
    <w:rsid w:val="00F52077"/>
    <w:rsid w:val="00F52739"/>
    <w:rsid w:val="00F530CD"/>
    <w:rsid w:val="00F657DD"/>
    <w:rsid w:val="00F67399"/>
    <w:rsid w:val="00F70886"/>
    <w:rsid w:val="00F725F3"/>
    <w:rsid w:val="00F74F8A"/>
    <w:rsid w:val="00F81531"/>
    <w:rsid w:val="00F82E2C"/>
    <w:rsid w:val="00F85753"/>
    <w:rsid w:val="00F90455"/>
    <w:rsid w:val="00F930D2"/>
    <w:rsid w:val="00F96012"/>
    <w:rsid w:val="00FA6154"/>
    <w:rsid w:val="00FB5661"/>
    <w:rsid w:val="00FB5899"/>
    <w:rsid w:val="00FB62A4"/>
    <w:rsid w:val="00FC0A6D"/>
    <w:rsid w:val="00FC482B"/>
    <w:rsid w:val="00FC6C12"/>
    <w:rsid w:val="00FD0D97"/>
    <w:rsid w:val="00FD102F"/>
    <w:rsid w:val="00FD16B5"/>
    <w:rsid w:val="00FD5C6D"/>
    <w:rsid w:val="00FD69CA"/>
    <w:rsid w:val="00FE5026"/>
    <w:rsid w:val="00FE599C"/>
    <w:rsid w:val="00FE65E5"/>
    <w:rsid w:val="00FF0957"/>
    <w:rsid w:val="00FF1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ind w:firstLine="3261"/>
      <w:outlineLvl w:val="0"/>
    </w:pPr>
    <w:rPr>
      <w:sz w:val="24"/>
      <w:lang w:val="uk-UA"/>
    </w:rPr>
  </w:style>
  <w:style w:type="paragraph" w:styleId="2">
    <w:name w:val="heading 2"/>
    <w:basedOn w:val="a"/>
    <w:next w:val="a"/>
    <w:qFormat/>
    <w:pPr>
      <w:keepNext/>
      <w:ind w:firstLine="3544"/>
      <w:outlineLvl w:val="1"/>
    </w:pPr>
    <w:rPr>
      <w:sz w:val="24"/>
      <w:lang w:val="uk-UA"/>
    </w:rPr>
  </w:style>
  <w:style w:type="paragraph" w:styleId="3">
    <w:name w:val="heading 3"/>
    <w:basedOn w:val="a"/>
    <w:next w:val="a"/>
    <w:qFormat/>
    <w:pPr>
      <w:keepNext/>
      <w:ind w:left="60"/>
      <w:outlineLvl w:val="2"/>
    </w:pPr>
    <w:rPr>
      <w:sz w:val="28"/>
      <w:lang w:val="uk-UA"/>
    </w:rPr>
  </w:style>
  <w:style w:type="paragraph" w:styleId="8">
    <w:name w:val="heading 8"/>
    <w:basedOn w:val="a"/>
    <w:next w:val="a"/>
    <w:qFormat/>
    <w:rsid w:val="007B4F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28"/>
      <w:lang w:val="uk-UA"/>
    </w:rPr>
  </w:style>
  <w:style w:type="paragraph" w:styleId="a4">
    <w:name w:val="Body Text"/>
    <w:basedOn w:val="a"/>
    <w:rPr>
      <w:sz w:val="28"/>
      <w:lang w:val="uk-UA"/>
    </w:rPr>
  </w:style>
  <w:style w:type="paragraph" w:styleId="a5">
    <w:name w:val="Body Text Indent"/>
    <w:basedOn w:val="a"/>
    <w:pPr>
      <w:ind w:left="60" w:firstLine="660"/>
      <w:jc w:val="both"/>
    </w:pPr>
    <w:rPr>
      <w:sz w:val="28"/>
      <w:lang w:val="uk-UA"/>
    </w:rPr>
  </w:style>
  <w:style w:type="paragraph" w:styleId="20">
    <w:name w:val="Body Text Indent 2"/>
    <w:basedOn w:val="a"/>
    <w:pPr>
      <w:ind w:firstLine="720"/>
      <w:jc w:val="center"/>
    </w:pPr>
    <w:rPr>
      <w:b/>
      <w:sz w:val="28"/>
      <w:lang w:val="uk-UA"/>
    </w:rPr>
  </w:style>
  <w:style w:type="paragraph" w:styleId="a6">
    <w:name w:val="footer"/>
    <w:basedOn w:val="a"/>
    <w:rsid w:val="00A1432F"/>
    <w:pPr>
      <w:tabs>
        <w:tab w:val="center" w:pos="4677"/>
        <w:tab w:val="right" w:pos="9355"/>
      </w:tabs>
    </w:pPr>
  </w:style>
  <w:style w:type="character" w:styleId="a7">
    <w:name w:val="page number"/>
    <w:basedOn w:val="a0"/>
    <w:rsid w:val="00A1432F"/>
  </w:style>
  <w:style w:type="paragraph" w:styleId="a8">
    <w:name w:val="Balloon Text"/>
    <w:basedOn w:val="a"/>
    <w:semiHidden/>
    <w:rsid w:val="0079538E"/>
    <w:rPr>
      <w:rFonts w:ascii="Tahoma" w:hAnsi="Tahoma" w:cs="Tahoma"/>
      <w:sz w:val="16"/>
      <w:szCs w:val="16"/>
    </w:rPr>
  </w:style>
  <w:style w:type="table" w:styleId="a9">
    <w:name w:val="Table Grid"/>
    <w:basedOn w:val="a1"/>
    <w:rsid w:val="00741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Знак"/>
    <w:basedOn w:val="a"/>
    <w:rsid w:val="00E63B71"/>
    <w:rPr>
      <w:rFonts w:ascii="Verdana" w:hAnsi="Verdana" w:cs="Verdana"/>
      <w:lang w:val="en-US" w:eastAsia="en-US"/>
    </w:rPr>
  </w:style>
  <w:style w:type="paragraph" w:customStyle="1" w:styleId="ab">
    <w:name w:val="Знак Знак Знак Знак Знак Знак Знак Знак Знак Знак Знак Знак Знак Знак Знак Знак Знак Знак"/>
    <w:basedOn w:val="a"/>
    <w:rsid w:val="007D5F5A"/>
    <w:rPr>
      <w:rFonts w:ascii="Verdana" w:hAnsi="Verdana" w:cs="Verdana"/>
      <w:lang w:val="en-US" w:eastAsia="en-US"/>
    </w:rPr>
  </w:style>
  <w:style w:type="paragraph" w:customStyle="1" w:styleId="ac">
    <w:name w:val="Знак Знак Знак Знак Знак Знак Знак Знак Знак Знак Знак Знак Знак Знак Знак Знак Знак"/>
    <w:basedOn w:val="a"/>
    <w:rsid w:val="005A61B2"/>
    <w:rPr>
      <w:rFonts w:ascii="Verdana" w:hAnsi="Verdana" w:cs="Verdana"/>
      <w:lang w:val="en-US" w:eastAsia="en-US"/>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w:basedOn w:val="a"/>
    <w:rsid w:val="00D0389F"/>
    <w:rPr>
      <w:rFonts w:ascii="Verdana" w:hAnsi="Verdana" w:cs="Verdana"/>
      <w:lang w:val="en-US" w:eastAsia="en-US"/>
    </w:rPr>
  </w:style>
  <w:style w:type="paragraph" w:styleId="ad">
    <w:name w:val="header"/>
    <w:basedOn w:val="a"/>
    <w:rsid w:val="00357388"/>
    <w:pPr>
      <w:tabs>
        <w:tab w:val="center" w:pos="4677"/>
        <w:tab w:val="right" w:pos="9355"/>
      </w:tabs>
    </w:pPr>
  </w:style>
  <w:style w:type="paragraph" w:styleId="ae">
    <w:name w:val="Normal (Web)"/>
    <w:basedOn w:val="a"/>
    <w:uiPriority w:val="99"/>
    <w:semiHidden/>
    <w:unhideWhenUsed/>
    <w:rsid w:val="005D61E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ind w:firstLine="3261"/>
      <w:outlineLvl w:val="0"/>
    </w:pPr>
    <w:rPr>
      <w:sz w:val="24"/>
      <w:lang w:val="uk-UA"/>
    </w:rPr>
  </w:style>
  <w:style w:type="paragraph" w:styleId="2">
    <w:name w:val="heading 2"/>
    <w:basedOn w:val="a"/>
    <w:next w:val="a"/>
    <w:qFormat/>
    <w:pPr>
      <w:keepNext/>
      <w:ind w:firstLine="3544"/>
      <w:outlineLvl w:val="1"/>
    </w:pPr>
    <w:rPr>
      <w:sz w:val="24"/>
      <w:lang w:val="uk-UA"/>
    </w:rPr>
  </w:style>
  <w:style w:type="paragraph" w:styleId="3">
    <w:name w:val="heading 3"/>
    <w:basedOn w:val="a"/>
    <w:next w:val="a"/>
    <w:qFormat/>
    <w:pPr>
      <w:keepNext/>
      <w:ind w:left="60"/>
      <w:outlineLvl w:val="2"/>
    </w:pPr>
    <w:rPr>
      <w:sz w:val="28"/>
      <w:lang w:val="uk-UA"/>
    </w:rPr>
  </w:style>
  <w:style w:type="paragraph" w:styleId="8">
    <w:name w:val="heading 8"/>
    <w:basedOn w:val="a"/>
    <w:next w:val="a"/>
    <w:qFormat/>
    <w:rsid w:val="007B4F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28"/>
      <w:lang w:val="uk-UA"/>
    </w:rPr>
  </w:style>
  <w:style w:type="paragraph" w:styleId="a4">
    <w:name w:val="Body Text"/>
    <w:basedOn w:val="a"/>
    <w:rPr>
      <w:sz w:val="28"/>
      <w:lang w:val="uk-UA"/>
    </w:rPr>
  </w:style>
  <w:style w:type="paragraph" w:styleId="a5">
    <w:name w:val="Body Text Indent"/>
    <w:basedOn w:val="a"/>
    <w:pPr>
      <w:ind w:left="60" w:firstLine="660"/>
      <w:jc w:val="both"/>
    </w:pPr>
    <w:rPr>
      <w:sz w:val="28"/>
      <w:lang w:val="uk-UA"/>
    </w:rPr>
  </w:style>
  <w:style w:type="paragraph" w:styleId="20">
    <w:name w:val="Body Text Indent 2"/>
    <w:basedOn w:val="a"/>
    <w:pPr>
      <w:ind w:firstLine="720"/>
      <w:jc w:val="center"/>
    </w:pPr>
    <w:rPr>
      <w:b/>
      <w:sz w:val="28"/>
      <w:lang w:val="uk-UA"/>
    </w:rPr>
  </w:style>
  <w:style w:type="paragraph" w:styleId="a6">
    <w:name w:val="footer"/>
    <w:basedOn w:val="a"/>
    <w:rsid w:val="00A1432F"/>
    <w:pPr>
      <w:tabs>
        <w:tab w:val="center" w:pos="4677"/>
        <w:tab w:val="right" w:pos="9355"/>
      </w:tabs>
    </w:pPr>
  </w:style>
  <w:style w:type="character" w:styleId="a7">
    <w:name w:val="page number"/>
    <w:basedOn w:val="a0"/>
    <w:rsid w:val="00A1432F"/>
  </w:style>
  <w:style w:type="paragraph" w:styleId="a8">
    <w:name w:val="Balloon Text"/>
    <w:basedOn w:val="a"/>
    <w:semiHidden/>
    <w:rsid w:val="0079538E"/>
    <w:rPr>
      <w:rFonts w:ascii="Tahoma" w:hAnsi="Tahoma" w:cs="Tahoma"/>
      <w:sz w:val="16"/>
      <w:szCs w:val="16"/>
    </w:rPr>
  </w:style>
  <w:style w:type="table" w:styleId="a9">
    <w:name w:val="Table Grid"/>
    <w:basedOn w:val="a1"/>
    <w:rsid w:val="00741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Знак"/>
    <w:basedOn w:val="a"/>
    <w:rsid w:val="00E63B71"/>
    <w:rPr>
      <w:rFonts w:ascii="Verdana" w:hAnsi="Verdana" w:cs="Verdana"/>
      <w:lang w:val="en-US" w:eastAsia="en-US"/>
    </w:rPr>
  </w:style>
  <w:style w:type="paragraph" w:customStyle="1" w:styleId="ab">
    <w:name w:val="Знак Знак Знак Знак Знак Знак Знак Знак Знак Знак Знак Знак Знак Знак Знак Знак Знак Знак"/>
    <w:basedOn w:val="a"/>
    <w:rsid w:val="007D5F5A"/>
    <w:rPr>
      <w:rFonts w:ascii="Verdana" w:hAnsi="Verdana" w:cs="Verdana"/>
      <w:lang w:val="en-US" w:eastAsia="en-US"/>
    </w:rPr>
  </w:style>
  <w:style w:type="paragraph" w:customStyle="1" w:styleId="ac">
    <w:name w:val="Знак Знак Знак Знак Знак Знак Знак Знак Знак Знак Знак Знак Знак Знак Знак Знак Знак"/>
    <w:basedOn w:val="a"/>
    <w:rsid w:val="005A61B2"/>
    <w:rPr>
      <w:rFonts w:ascii="Verdana" w:hAnsi="Verdana" w:cs="Verdana"/>
      <w:lang w:val="en-US" w:eastAsia="en-US"/>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w:basedOn w:val="a"/>
    <w:rsid w:val="00D0389F"/>
    <w:rPr>
      <w:rFonts w:ascii="Verdana" w:hAnsi="Verdana" w:cs="Verdana"/>
      <w:lang w:val="en-US" w:eastAsia="en-US"/>
    </w:rPr>
  </w:style>
  <w:style w:type="paragraph" w:styleId="ad">
    <w:name w:val="header"/>
    <w:basedOn w:val="a"/>
    <w:rsid w:val="00357388"/>
    <w:pPr>
      <w:tabs>
        <w:tab w:val="center" w:pos="4677"/>
        <w:tab w:val="right" w:pos="9355"/>
      </w:tabs>
    </w:pPr>
  </w:style>
  <w:style w:type="paragraph" w:styleId="ae">
    <w:name w:val="Normal (Web)"/>
    <w:basedOn w:val="a"/>
    <w:uiPriority w:val="99"/>
    <w:semiHidden/>
    <w:unhideWhenUsed/>
    <w:rsid w:val="005D61E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0495">
      <w:bodyDiv w:val="1"/>
      <w:marLeft w:val="0"/>
      <w:marRight w:val="0"/>
      <w:marTop w:val="0"/>
      <w:marBottom w:val="0"/>
      <w:divBdr>
        <w:top w:val="none" w:sz="0" w:space="0" w:color="auto"/>
        <w:left w:val="none" w:sz="0" w:space="0" w:color="auto"/>
        <w:bottom w:val="none" w:sz="0" w:space="0" w:color="auto"/>
        <w:right w:val="none" w:sz="0" w:space="0" w:color="auto"/>
      </w:divBdr>
    </w:div>
    <w:div w:id="102966682">
      <w:bodyDiv w:val="1"/>
      <w:marLeft w:val="0"/>
      <w:marRight w:val="0"/>
      <w:marTop w:val="0"/>
      <w:marBottom w:val="0"/>
      <w:divBdr>
        <w:top w:val="none" w:sz="0" w:space="0" w:color="auto"/>
        <w:left w:val="none" w:sz="0" w:space="0" w:color="auto"/>
        <w:bottom w:val="none" w:sz="0" w:space="0" w:color="auto"/>
        <w:right w:val="none" w:sz="0" w:space="0" w:color="auto"/>
      </w:divBdr>
    </w:div>
    <w:div w:id="129439421">
      <w:bodyDiv w:val="1"/>
      <w:marLeft w:val="0"/>
      <w:marRight w:val="0"/>
      <w:marTop w:val="0"/>
      <w:marBottom w:val="0"/>
      <w:divBdr>
        <w:top w:val="none" w:sz="0" w:space="0" w:color="auto"/>
        <w:left w:val="none" w:sz="0" w:space="0" w:color="auto"/>
        <w:bottom w:val="none" w:sz="0" w:space="0" w:color="auto"/>
        <w:right w:val="none" w:sz="0" w:space="0" w:color="auto"/>
      </w:divBdr>
    </w:div>
    <w:div w:id="147022376">
      <w:bodyDiv w:val="1"/>
      <w:marLeft w:val="0"/>
      <w:marRight w:val="0"/>
      <w:marTop w:val="0"/>
      <w:marBottom w:val="0"/>
      <w:divBdr>
        <w:top w:val="none" w:sz="0" w:space="0" w:color="auto"/>
        <w:left w:val="none" w:sz="0" w:space="0" w:color="auto"/>
        <w:bottom w:val="none" w:sz="0" w:space="0" w:color="auto"/>
        <w:right w:val="none" w:sz="0" w:space="0" w:color="auto"/>
      </w:divBdr>
    </w:div>
    <w:div w:id="232011589">
      <w:bodyDiv w:val="1"/>
      <w:marLeft w:val="0"/>
      <w:marRight w:val="0"/>
      <w:marTop w:val="0"/>
      <w:marBottom w:val="0"/>
      <w:divBdr>
        <w:top w:val="none" w:sz="0" w:space="0" w:color="auto"/>
        <w:left w:val="none" w:sz="0" w:space="0" w:color="auto"/>
        <w:bottom w:val="none" w:sz="0" w:space="0" w:color="auto"/>
        <w:right w:val="none" w:sz="0" w:space="0" w:color="auto"/>
      </w:divBdr>
    </w:div>
    <w:div w:id="238105114">
      <w:bodyDiv w:val="1"/>
      <w:marLeft w:val="0"/>
      <w:marRight w:val="0"/>
      <w:marTop w:val="0"/>
      <w:marBottom w:val="0"/>
      <w:divBdr>
        <w:top w:val="none" w:sz="0" w:space="0" w:color="auto"/>
        <w:left w:val="none" w:sz="0" w:space="0" w:color="auto"/>
        <w:bottom w:val="none" w:sz="0" w:space="0" w:color="auto"/>
        <w:right w:val="none" w:sz="0" w:space="0" w:color="auto"/>
      </w:divBdr>
    </w:div>
    <w:div w:id="269244102">
      <w:bodyDiv w:val="1"/>
      <w:marLeft w:val="0"/>
      <w:marRight w:val="0"/>
      <w:marTop w:val="0"/>
      <w:marBottom w:val="0"/>
      <w:divBdr>
        <w:top w:val="none" w:sz="0" w:space="0" w:color="auto"/>
        <w:left w:val="none" w:sz="0" w:space="0" w:color="auto"/>
        <w:bottom w:val="none" w:sz="0" w:space="0" w:color="auto"/>
        <w:right w:val="none" w:sz="0" w:space="0" w:color="auto"/>
      </w:divBdr>
    </w:div>
    <w:div w:id="276833404">
      <w:bodyDiv w:val="1"/>
      <w:marLeft w:val="0"/>
      <w:marRight w:val="0"/>
      <w:marTop w:val="0"/>
      <w:marBottom w:val="0"/>
      <w:divBdr>
        <w:top w:val="none" w:sz="0" w:space="0" w:color="auto"/>
        <w:left w:val="none" w:sz="0" w:space="0" w:color="auto"/>
        <w:bottom w:val="none" w:sz="0" w:space="0" w:color="auto"/>
        <w:right w:val="none" w:sz="0" w:space="0" w:color="auto"/>
      </w:divBdr>
    </w:div>
    <w:div w:id="346442102">
      <w:bodyDiv w:val="1"/>
      <w:marLeft w:val="0"/>
      <w:marRight w:val="0"/>
      <w:marTop w:val="0"/>
      <w:marBottom w:val="0"/>
      <w:divBdr>
        <w:top w:val="none" w:sz="0" w:space="0" w:color="auto"/>
        <w:left w:val="none" w:sz="0" w:space="0" w:color="auto"/>
        <w:bottom w:val="none" w:sz="0" w:space="0" w:color="auto"/>
        <w:right w:val="none" w:sz="0" w:space="0" w:color="auto"/>
      </w:divBdr>
    </w:div>
    <w:div w:id="376243034">
      <w:bodyDiv w:val="1"/>
      <w:marLeft w:val="0"/>
      <w:marRight w:val="0"/>
      <w:marTop w:val="0"/>
      <w:marBottom w:val="0"/>
      <w:divBdr>
        <w:top w:val="none" w:sz="0" w:space="0" w:color="auto"/>
        <w:left w:val="none" w:sz="0" w:space="0" w:color="auto"/>
        <w:bottom w:val="none" w:sz="0" w:space="0" w:color="auto"/>
        <w:right w:val="none" w:sz="0" w:space="0" w:color="auto"/>
      </w:divBdr>
    </w:div>
    <w:div w:id="417871010">
      <w:bodyDiv w:val="1"/>
      <w:marLeft w:val="0"/>
      <w:marRight w:val="0"/>
      <w:marTop w:val="0"/>
      <w:marBottom w:val="0"/>
      <w:divBdr>
        <w:top w:val="none" w:sz="0" w:space="0" w:color="auto"/>
        <w:left w:val="none" w:sz="0" w:space="0" w:color="auto"/>
        <w:bottom w:val="none" w:sz="0" w:space="0" w:color="auto"/>
        <w:right w:val="none" w:sz="0" w:space="0" w:color="auto"/>
      </w:divBdr>
    </w:div>
    <w:div w:id="491412814">
      <w:bodyDiv w:val="1"/>
      <w:marLeft w:val="0"/>
      <w:marRight w:val="0"/>
      <w:marTop w:val="0"/>
      <w:marBottom w:val="0"/>
      <w:divBdr>
        <w:top w:val="none" w:sz="0" w:space="0" w:color="auto"/>
        <w:left w:val="none" w:sz="0" w:space="0" w:color="auto"/>
        <w:bottom w:val="none" w:sz="0" w:space="0" w:color="auto"/>
        <w:right w:val="none" w:sz="0" w:space="0" w:color="auto"/>
      </w:divBdr>
    </w:div>
    <w:div w:id="558590745">
      <w:bodyDiv w:val="1"/>
      <w:marLeft w:val="0"/>
      <w:marRight w:val="0"/>
      <w:marTop w:val="0"/>
      <w:marBottom w:val="0"/>
      <w:divBdr>
        <w:top w:val="none" w:sz="0" w:space="0" w:color="auto"/>
        <w:left w:val="none" w:sz="0" w:space="0" w:color="auto"/>
        <w:bottom w:val="none" w:sz="0" w:space="0" w:color="auto"/>
        <w:right w:val="none" w:sz="0" w:space="0" w:color="auto"/>
      </w:divBdr>
    </w:div>
    <w:div w:id="591738817">
      <w:bodyDiv w:val="1"/>
      <w:marLeft w:val="0"/>
      <w:marRight w:val="0"/>
      <w:marTop w:val="0"/>
      <w:marBottom w:val="0"/>
      <w:divBdr>
        <w:top w:val="none" w:sz="0" w:space="0" w:color="auto"/>
        <w:left w:val="none" w:sz="0" w:space="0" w:color="auto"/>
        <w:bottom w:val="none" w:sz="0" w:space="0" w:color="auto"/>
        <w:right w:val="none" w:sz="0" w:space="0" w:color="auto"/>
      </w:divBdr>
    </w:div>
    <w:div w:id="754522775">
      <w:bodyDiv w:val="1"/>
      <w:marLeft w:val="0"/>
      <w:marRight w:val="0"/>
      <w:marTop w:val="0"/>
      <w:marBottom w:val="0"/>
      <w:divBdr>
        <w:top w:val="none" w:sz="0" w:space="0" w:color="auto"/>
        <w:left w:val="none" w:sz="0" w:space="0" w:color="auto"/>
        <w:bottom w:val="none" w:sz="0" w:space="0" w:color="auto"/>
        <w:right w:val="none" w:sz="0" w:space="0" w:color="auto"/>
      </w:divBdr>
    </w:div>
    <w:div w:id="807555305">
      <w:bodyDiv w:val="1"/>
      <w:marLeft w:val="0"/>
      <w:marRight w:val="0"/>
      <w:marTop w:val="0"/>
      <w:marBottom w:val="0"/>
      <w:divBdr>
        <w:top w:val="none" w:sz="0" w:space="0" w:color="auto"/>
        <w:left w:val="none" w:sz="0" w:space="0" w:color="auto"/>
        <w:bottom w:val="none" w:sz="0" w:space="0" w:color="auto"/>
        <w:right w:val="none" w:sz="0" w:space="0" w:color="auto"/>
      </w:divBdr>
    </w:div>
    <w:div w:id="811143024">
      <w:bodyDiv w:val="1"/>
      <w:marLeft w:val="0"/>
      <w:marRight w:val="0"/>
      <w:marTop w:val="0"/>
      <w:marBottom w:val="0"/>
      <w:divBdr>
        <w:top w:val="none" w:sz="0" w:space="0" w:color="auto"/>
        <w:left w:val="none" w:sz="0" w:space="0" w:color="auto"/>
        <w:bottom w:val="none" w:sz="0" w:space="0" w:color="auto"/>
        <w:right w:val="none" w:sz="0" w:space="0" w:color="auto"/>
      </w:divBdr>
      <w:divsChild>
        <w:div w:id="1597596874">
          <w:marLeft w:val="0"/>
          <w:marRight w:val="0"/>
          <w:marTop w:val="0"/>
          <w:marBottom w:val="0"/>
          <w:divBdr>
            <w:top w:val="none" w:sz="0" w:space="0" w:color="auto"/>
            <w:left w:val="none" w:sz="0" w:space="0" w:color="auto"/>
            <w:bottom w:val="none" w:sz="0" w:space="0" w:color="auto"/>
            <w:right w:val="none" w:sz="0" w:space="0" w:color="auto"/>
          </w:divBdr>
        </w:div>
      </w:divsChild>
    </w:div>
    <w:div w:id="839001684">
      <w:bodyDiv w:val="1"/>
      <w:marLeft w:val="0"/>
      <w:marRight w:val="0"/>
      <w:marTop w:val="0"/>
      <w:marBottom w:val="0"/>
      <w:divBdr>
        <w:top w:val="none" w:sz="0" w:space="0" w:color="auto"/>
        <w:left w:val="none" w:sz="0" w:space="0" w:color="auto"/>
        <w:bottom w:val="none" w:sz="0" w:space="0" w:color="auto"/>
        <w:right w:val="none" w:sz="0" w:space="0" w:color="auto"/>
      </w:divBdr>
    </w:div>
    <w:div w:id="870217323">
      <w:bodyDiv w:val="1"/>
      <w:marLeft w:val="0"/>
      <w:marRight w:val="0"/>
      <w:marTop w:val="0"/>
      <w:marBottom w:val="0"/>
      <w:divBdr>
        <w:top w:val="none" w:sz="0" w:space="0" w:color="auto"/>
        <w:left w:val="none" w:sz="0" w:space="0" w:color="auto"/>
        <w:bottom w:val="none" w:sz="0" w:space="0" w:color="auto"/>
        <w:right w:val="none" w:sz="0" w:space="0" w:color="auto"/>
      </w:divBdr>
    </w:div>
    <w:div w:id="953365579">
      <w:bodyDiv w:val="1"/>
      <w:marLeft w:val="0"/>
      <w:marRight w:val="0"/>
      <w:marTop w:val="0"/>
      <w:marBottom w:val="0"/>
      <w:divBdr>
        <w:top w:val="none" w:sz="0" w:space="0" w:color="auto"/>
        <w:left w:val="none" w:sz="0" w:space="0" w:color="auto"/>
        <w:bottom w:val="none" w:sz="0" w:space="0" w:color="auto"/>
        <w:right w:val="none" w:sz="0" w:space="0" w:color="auto"/>
      </w:divBdr>
    </w:div>
    <w:div w:id="963000653">
      <w:bodyDiv w:val="1"/>
      <w:marLeft w:val="0"/>
      <w:marRight w:val="0"/>
      <w:marTop w:val="0"/>
      <w:marBottom w:val="0"/>
      <w:divBdr>
        <w:top w:val="none" w:sz="0" w:space="0" w:color="auto"/>
        <w:left w:val="none" w:sz="0" w:space="0" w:color="auto"/>
        <w:bottom w:val="none" w:sz="0" w:space="0" w:color="auto"/>
        <w:right w:val="none" w:sz="0" w:space="0" w:color="auto"/>
      </w:divBdr>
    </w:div>
    <w:div w:id="993070838">
      <w:bodyDiv w:val="1"/>
      <w:marLeft w:val="0"/>
      <w:marRight w:val="0"/>
      <w:marTop w:val="0"/>
      <w:marBottom w:val="0"/>
      <w:divBdr>
        <w:top w:val="none" w:sz="0" w:space="0" w:color="auto"/>
        <w:left w:val="none" w:sz="0" w:space="0" w:color="auto"/>
        <w:bottom w:val="none" w:sz="0" w:space="0" w:color="auto"/>
        <w:right w:val="none" w:sz="0" w:space="0" w:color="auto"/>
      </w:divBdr>
    </w:div>
    <w:div w:id="1013804974">
      <w:bodyDiv w:val="1"/>
      <w:marLeft w:val="0"/>
      <w:marRight w:val="0"/>
      <w:marTop w:val="0"/>
      <w:marBottom w:val="0"/>
      <w:divBdr>
        <w:top w:val="none" w:sz="0" w:space="0" w:color="auto"/>
        <w:left w:val="none" w:sz="0" w:space="0" w:color="auto"/>
        <w:bottom w:val="none" w:sz="0" w:space="0" w:color="auto"/>
        <w:right w:val="none" w:sz="0" w:space="0" w:color="auto"/>
      </w:divBdr>
    </w:div>
    <w:div w:id="1021593722">
      <w:bodyDiv w:val="1"/>
      <w:marLeft w:val="0"/>
      <w:marRight w:val="0"/>
      <w:marTop w:val="0"/>
      <w:marBottom w:val="0"/>
      <w:divBdr>
        <w:top w:val="none" w:sz="0" w:space="0" w:color="auto"/>
        <w:left w:val="none" w:sz="0" w:space="0" w:color="auto"/>
        <w:bottom w:val="none" w:sz="0" w:space="0" w:color="auto"/>
        <w:right w:val="none" w:sz="0" w:space="0" w:color="auto"/>
      </w:divBdr>
    </w:div>
    <w:div w:id="1072386323">
      <w:bodyDiv w:val="1"/>
      <w:marLeft w:val="0"/>
      <w:marRight w:val="0"/>
      <w:marTop w:val="0"/>
      <w:marBottom w:val="0"/>
      <w:divBdr>
        <w:top w:val="none" w:sz="0" w:space="0" w:color="auto"/>
        <w:left w:val="none" w:sz="0" w:space="0" w:color="auto"/>
        <w:bottom w:val="none" w:sz="0" w:space="0" w:color="auto"/>
        <w:right w:val="none" w:sz="0" w:space="0" w:color="auto"/>
      </w:divBdr>
    </w:div>
    <w:div w:id="1201631010">
      <w:bodyDiv w:val="1"/>
      <w:marLeft w:val="0"/>
      <w:marRight w:val="0"/>
      <w:marTop w:val="0"/>
      <w:marBottom w:val="0"/>
      <w:divBdr>
        <w:top w:val="none" w:sz="0" w:space="0" w:color="auto"/>
        <w:left w:val="none" w:sz="0" w:space="0" w:color="auto"/>
        <w:bottom w:val="none" w:sz="0" w:space="0" w:color="auto"/>
        <w:right w:val="none" w:sz="0" w:space="0" w:color="auto"/>
      </w:divBdr>
    </w:div>
    <w:div w:id="1269656916">
      <w:bodyDiv w:val="1"/>
      <w:marLeft w:val="0"/>
      <w:marRight w:val="0"/>
      <w:marTop w:val="0"/>
      <w:marBottom w:val="0"/>
      <w:divBdr>
        <w:top w:val="none" w:sz="0" w:space="0" w:color="auto"/>
        <w:left w:val="none" w:sz="0" w:space="0" w:color="auto"/>
        <w:bottom w:val="none" w:sz="0" w:space="0" w:color="auto"/>
        <w:right w:val="none" w:sz="0" w:space="0" w:color="auto"/>
      </w:divBdr>
    </w:div>
    <w:div w:id="1284917438">
      <w:bodyDiv w:val="1"/>
      <w:marLeft w:val="0"/>
      <w:marRight w:val="0"/>
      <w:marTop w:val="0"/>
      <w:marBottom w:val="0"/>
      <w:divBdr>
        <w:top w:val="none" w:sz="0" w:space="0" w:color="auto"/>
        <w:left w:val="none" w:sz="0" w:space="0" w:color="auto"/>
        <w:bottom w:val="none" w:sz="0" w:space="0" w:color="auto"/>
        <w:right w:val="none" w:sz="0" w:space="0" w:color="auto"/>
      </w:divBdr>
    </w:div>
    <w:div w:id="1298952594">
      <w:bodyDiv w:val="1"/>
      <w:marLeft w:val="0"/>
      <w:marRight w:val="0"/>
      <w:marTop w:val="0"/>
      <w:marBottom w:val="0"/>
      <w:divBdr>
        <w:top w:val="none" w:sz="0" w:space="0" w:color="auto"/>
        <w:left w:val="none" w:sz="0" w:space="0" w:color="auto"/>
        <w:bottom w:val="none" w:sz="0" w:space="0" w:color="auto"/>
        <w:right w:val="none" w:sz="0" w:space="0" w:color="auto"/>
      </w:divBdr>
    </w:div>
    <w:div w:id="1366516707">
      <w:bodyDiv w:val="1"/>
      <w:marLeft w:val="0"/>
      <w:marRight w:val="0"/>
      <w:marTop w:val="0"/>
      <w:marBottom w:val="0"/>
      <w:divBdr>
        <w:top w:val="none" w:sz="0" w:space="0" w:color="auto"/>
        <w:left w:val="none" w:sz="0" w:space="0" w:color="auto"/>
        <w:bottom w:val="none" w:sz="0" w:space="0" w:color="auto"/>
        <w:right w:val="none" w:sz="0" w:space="0" w:color="auto"/>
      </w:divBdr>
    </w:div>
    <w:div w:id="1468818253">
      <w:bodyDiv w:val="1"/>
      <w:marLeft w:val="0"/>
      <w:marRight w:val="0"/>
      <w:marTop w:val="0"/>
      <w:marBottom w:val="0"/>
      <w:divBdr>
        <w:top w:val="none" w:sz="0" w:space="0" w:color="auto"/>
        <w:left w:val="none" w:sz="0" w:space="0" w:color="auto"/>
        <w:bottom w:val="none" w:sz="0" w:space="0" w:color="auto"/>
        <w:right w:val="none" w:sz="0" w:space="0" w:color="auto"/>
      </w:divBdr>
    </w:div>
    <w:div w:id="1473401107">
      <w:bodyDiv w:val="1"/>
      <w:marLeft w:val="0"/>
      <w:marRight w:val="0"/>
      <w:marTop w:val="0"/>
      <w:marBottom w:val="0"/>
      <w:divBdr>
        <w:top w:val="none" w:sz="0" w:space="0" w:color="auto"/>
        <w:left w:val="none" w:sz="0" w:space="0" w:color="auto"/>
        <w:bottom w:val="none" w:sz="0" w:space="0" w:color="auto"/>
        <w:right w:val="none" w:sz="0" w:space="0" w:color="auto"/>
      </w:divBdr>
    </w:div>
    <w:div w:id="1490710943">
      <w:bodyDiv w:val="1"/>
      <w:marLeft w:val="0"/>
      <w:marRight w:val="0"/>
      <w:marTop w:val="0"/>
      <w:marBottom w:val="0"/>
      <w:divBdr>
        <w:top w:val="none" w:sz="0" w:space="0" w:color="auto"/>
        <w:left w:val="none" w:sz="0" w:space="0" w:color="auto"/>
        <w:bottom w:val="none" w:sz="0" w:space="0" w:color="auto"/>
        <w:right w:val="none" w:sz="0" w:space="0" w:color="auto"/>
      </w:divBdr>
    </w:div>
    <w:div w:id="1496677876">
      <w:bodyDiv w:val="1"/>
      <w:marLeft w:val="0"/>
      <w:marRight w:val="0"/>
      <w:marTop w:val="0"/>
      <w:marBottom w:val="0"/>
      <w:divBdr>
        <w:top w:val="none" w:sz="0" w:space="0" w:color="auto"/>
        <w:left w:val="none" w:sz="0" w:space="0" w:color="auto"/>
        <w:bottom w:val="none" w:sz="0" w:space="0" w:color="auto"/>
        <w:right w:val="none" w:sz="0" w:space="0" w:color="auto"/>
      </w:divBdr>
    </w:div>
    <w:div w:id="1529683559">
      <w:bodyDiv w:val="1"/>
      <w:marLeft w:val="0"/>
      <w:marRight w:val="0"/>
      <w:marTop w:val="0"/>
      <w:marBottom w:val="0"/>
      <w:divBdr>
        <w:top w:val="none" w:sz="0" w:space="0" w:color="auto"/>
        <w:left w:val="none" w:sz="0" w:space="0" w:color="auto"/>
        <w:bottom w:val="none" w:sz="0" w:space="0" w:color="auto"/>
        <w:right w:val="none" w:sz="0" w:space="0" w:color="auto"/>
      </w:divBdr>
    </w:div>
    <w:div w:id="1685326215">
      <w:bodyDiv w:val="1"/>
      <w:marLeft w:val="0"/>
      <w:marRight w:val="0"/>
      <w:marTop w:val="0"/>
      <w:marBottom w:val="0"/>
      <w:divBdr>
        <w:top w:val="none" w:sz="0" w:space="0" w:color="auto"/>
        <w:left w:val="none" w:sz="0" w:space="0" w:color="auto"/>
        <w:bottom w:val="none" w:sz="0" w:space="0" w:color="auto"/>
        <w:right w:val="none" w:sz="0" w:space="0" w:color="auto"/>
      </w:divBdr>
      <w:divsChild>
        <w:div w:id="606431739">
          <w:marLeft w:val="0"/>
          <w:marRight w:val="0"/>
          <w:marTop w:val="0"/>
          <w:marBottom w:val="0"/>
          <w:divBdr>
            <w:top w:val="none" w:sz="0" w:space="0" w:color="auto"/>
            <w:left w:val="none" w:sz="0" w:space="0" w:color="auto"/>
            <w:bottom w:val="none" w:sz="0" w:space="0" w:color="auto"/>
            <w:right w:val="none" w:sz="0" w:space="0" w:color="auto"/>
          </w:divBdr>
          <w:divsChild>
            <w:div w:id="13994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3133">
      <w:bodyDiv w:val="1"/>
      <w:marLeft w:val="0"/>
      <w:marRight w:val="0"/>
      <w:marTop w:val="0"/>
      <w:marBottom w:val="0"/>
      <w:divBdr>
        <w:top w:val="none" w:sz="0" w:space="0" w:color="auto"/>
        <w:left w:val="none" w:sz="0" w:space="0" w:color="auto"/>
        <w:bottom w:val="none" w:sz="0" w:space="0" w:color="auto"/>
        <w:right w:val="none" w:sz="0" w:space="0" w:color="auto"/>
      </w:divBdr>
    </w:div>
    <w:div w:id="1859612098">
      <w:bodyDiv w:val="1"/>
      <w:marLeft w:val="0"/>
      <w:marRight w:val="0"/>
      <w:marTop w:val="0"/>
      <w:marBottom w:val="0"/>
      <w:divBdr>
        <w:top w:val="none" w:sz="0" w:space="0" w:color="auto"/>
        <w:left w:val="none" w:sz="0" w:space="0" w:color="auto"/>
        <w:bottom w:val="none" w:sz="0" w:space="0" w:color="auto"/>
        <w:right w:val="none" w:sz="0" w:space="0" w:color="auto"/>
      </w:divBdr>
    </w:div>
    <w:div w:id="1907643429">
      <w:bodyDiv w:val="1"/>
      <w:marLeft w:val="0"/>
      <w:marRight w:val="0"/>
      <w:marTop w:val="0"/>
      <w:marBottom w:val="0"/>
      <w:divBdr>
        <w:top w:val="none" w:sz="0" w:space="0" w:color="auto"/>
        <w:left w:val="none" w:sz="0" w:space="0" w:color="auto"/>
        <w:bottom w:val="none" w:sz="0" w:space="0" w:color="auto"/>
        <w:right w:val="none" w:sz="0" w:space="0" w:color="auto"/>
      </w:divBdr>
    </w:div>
    <w:div w:id="1964991674">
      <w:bodyDiv w:val="1"/>
      <w:marLeft w:val="0"/>
      <w:marRight w:val="0"/>
      <w:marTop w:val="0"/>
      <w:marBottom w:val="0"/>
      <w:divBdr>
        <w:top w:val="none" w:sz="0" w:space="0" w:color="auto"/>
        <w:left w:val="none" w:sz="0" w:space="0" w:color="auto"/>
        <w:bottom w:val="none" w:sz="0" w:space="0" w:color="auto"/>
        <w:right w:val="none" w:sz="0" w:space="0" w:color="auto"/>
      </w:divBdr>
    </w:div>
    <w:div w:id="2078628200">
      <w:bodyDiv w:val="1"/>
      <w:marLeft w:val="0"/>
      <w:marRight w:val="0"/>
      <w:marTop w:val="0"/>
      <w:marBottom w:val="0"/>
      <w:divBdr>
        <w:top w:val="none" w:sz="0" w:space="0" w:color="auto"/>
        <w:left w:val="none" w:sz="0" w:space="0" w:color="auto"/>
        <w:bottom w:val="none" w:sz="0" w:space="0" w:color="auto"/>
        <w:right w:val="none" w:sz="0" w:space="0" w:color="auto"/>
      </w:divBdr>
    </w:div>
    <w:div w:id="2083024119">
      <w:bodyDiv w:val="1"/>
      <w:marLeft w:val="0"/>
      <w:marRight w:val="0"/>
      <w:marTop w:val="0"/>
      <w:marBottom w:val="0"/>
      <w:divBdr>
        <w:top w:val="none" w:sz="0" w:space="0" w:color="auto"/>
        <w:left w:val="none" w:sz="0" w:space="0" w:color="auto"/>
        <w:bottom w:val="none" w:sz="0" w:space="0" w:color="auto"/>
        <w:right w:val="none" w:sz="0" w:space="0" w:color="auto"/>
      </w:divBdr>
    </w:div>
    <w:div w:id="214585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2025-2026\&#1057;&#1077;&#1089;&#1110;&#1103;\&#1057;&#1077;&#1089;&#1110;&#1103;%202025-2026\&#1047;&#1074;&#1110;&#1090;%20&#1087;&#1086;%20&#1089;&#1077;&#1089;&#1110;&#1111;\&#1047;&#1074;&#1110;&#1090;%20&#1087;&#1086;%20&#1089;&#1077;&#1089;&#1110;&#1111;_&#1079;&#1072;&#1075;&#1072;&#1083;&#1100;&#1085;&#1080;&#1081;%202025-2026%20(&#1079;&#1080;&#1084;&#107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600" b="1" i="0" u="none" strike="noStrike" baseline="0">
                <a:solidFill>
                  <a:srgbClr val="000000"/>
                </a:solidFill>
                <a:latin typeface="Calibri"/>
                <a:ea typeface="Calibri"/>
                <a:cs typeface="Calibri"/>
              </a:defRPr>
            </a:pPr>
            <a:r>
              <a:rPr lang="ru-RU" sz="1600"/>
              <a:t>Кількість студентів денної форми навчання</a:t>
            </a:r>
          </a:p>
        </c:rich>
      </c:tx>
      <c:layout>
        <c:manualLayout>
          <c:xMode val="edge"/>
          <c:yMode val="edge"/>
          <c:x val="0.18686553989668489"/>
          <c:y val="4.751361962107678E-2"/>
        </c:manualLayout>
      </c:layout>
      <c:overlay val="0"/>
    </c:title>
    <c:autoTitleDeleted val="0"/>
    <c:plotArea>
      <c:layout>
        <c:manualLayout>
          <c:layoutTarget val="inner"/>
          <c:xMode val="edge"/>
          <c:yMode val="edge"/>
          <c:x val="8.7898089171974517E-2"/>
          <c:y val="0.28289519122505785"/>
          <c:w val="0.87133757961783442"/>
          <c:h val="0.5394745507082499"/>
        </c:manualLayout>
      </c:layout>
      <c:barChart>
        <c:barDir val="col"/>
        <c:grouping val="clustered"/>
        <c:varyColors val="0"/>
        <c:ser>
          <c:idx val="0"/>
          <c:order val="0"/>
          <c:spPr>
            <a:solidFill>
              <a:srgbClr val="92D050"/>
            </a:solidFill>
          </c:spPr>
          <c:invertIfNegative val="0"/>
          <c:dLbls>
            <c:dLbl>
              <c:idx val="1"/>
              <c:layout>
                <c:manualLayout>
                  <c:x val="5.413317441788747E-4"/>
                  <c:y val="-4.0151820453636522E-2"/>
                </c:manualLayout>
              </c:layout>
              <c:spPr/>
              <c:txPr>
                <a:bodyPr/>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курси'!$B$9:$B$15</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курси'!$AC$9:$AC$15</c:f>
              <c:numCache>
                <c:formatCode>General</c:formatCode>
                <c:ptCount val="7"/>
                <c:pt idx="0">
                  <c:v>436</c:v>
                </c:pt>
                <c:pt idx="1">
                  <c:v>829</c:v>
                </c:pt>
                <c:pt idx="2">
                  <c:v>212</c:v>
                </c:pt>
                <c:pt idx="3">
                  <c:v>10</c:v>
                </c:pt>
                <c:pt idx="4">
                  <c:v>404</c:v>
                </c:pt>
                <c:pt idx="5">
                  <c:v>50</c:v>
                </c:pt>
                <c:pt idx="6">
                  <c:v>72</c:v>
                </c:pt>
              </c:numCache>
            </c:numRef>
          </c:val>
        </c:ser>
        <c:dLbls>
          <c:showLegendKey val="0"/>
          <c:showVal val="0"/>
          <c:showCatName val="0"/>
          <c:showSerName val="0"/>
          <c:showPercent val="0"/>
          <c:showBubbleSize val="0"/>
        </c:dLbls>
        <c:gapWidth val="140"/>
        <c:axId val="140625024"/>
        <c:axId val="140626560"/>
      </c:barChart>
      <c:catAx>
        <c:axId val="140625024"/>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626560"/>
        <c:crosses val="autoZero"/>
        <c:auto val="1"/>
        <c:lblAlgn val="ctr"/>
        <c:lblOffset val="100"/>
        <c:tickLblSkip val="1"/>
        <c:tickMarkSkip val="1"/>
        <c:noMultiLvlLbl val="0"/>
      </c:catAx>
      <c:valAx>
        <c:axId val="140626560"/>
        <c:scaling>
          <c:orientation val="minMax"/>
          <c:max val="600"/>
          <c:min val="0"/>
        </c:scaling>
        <c:delete val="0"/>
        <c:axPos val="l"/>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625024"/>
        <c:crosses val="autoZero"/>
        <c:crossBetween val="between"/>
        <c:majorUnit val="200"/>
        <c:minorUnit val="50"/>
      </c:valAx>
    </c:plotArea>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90"/>
      <c:hPercent val="56"/>
      <c:rotY val="27"/>
      <c:depthPercent val="100"/>
      <c:rAngAx val="1"/>
    </c:view3D>
    <c:floor>
      <c:thickness val="0"/>
    </c:floor>
    <c:sideWall>
      <c:thickness val="0"/>
    </c:sideWall>
    <c:backWall>
      <c:thickness val="0"/>
    </c:backWall>
    <c:plotArea>
      <c:layout>
        <c:manualLayout>
          <c:layoutTarget val="inner"/>
          <c:xMode val="edge"/>
          <c:yMode val="edge"/>
          <c:x val="6.8379663507439958E-2"/>
          <c:y val="0.10633949366242142"/>
          <c:w val="0.87676508344030812"/>
          <c:h val="0.73568361061787002"/>
        </c:manualLayout>
      </c:layout>
      <c:bar3DChart>
        <c:barDir val="col"/>
        <c:grouping val="clustered"/>
        <c:varyColors val="0"/>
        <c:ser>
          <c:idx val="0"/>
          <c:order val="0"/>
          <c:tx>
            <c:strRef>
              <c:f>'всі курси'!$B$120</c:f>
              <c:strCache>
                <c:ptCount val="1"/>
                <c:pt idx="0">
                  <c:v>Абсолютна успішність</c:v>
                </c:pt>
              </c:strCache>
            </c:strRef>
          </c:tx>
          <c:spPr>
            <a:solidFill>
              <a:schemeClr val="accent6"/>
            </a:solidFill>
          </c:spPr>
          <c:invertIfNegative val="0"/>
          <c:dLbls>
            <c:dLbl>
              <c:idx val="0"/>
              <c:layout>
                <c:manualLayout>
                  <c:x val="9.4666974537239573E-3"/>
                  <c:y val="-2.4559723981902919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1"/>
              <c:layout>
                <c:manualLayout>
                  <c:x val="1.2512593271450772E-2"/>
                  <c:y val="-3.560228709586475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2"/>
              <c:layout>
                <c:manualLayout>
                  <c:x val="5.5118075795692004E-3"/>
                  <c:y val="-4.2778748922580767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3"/>
              <c:layout>
                <c:manualLayout>
                  <c:x val="1.5317767563930757E-2"/>
                  <c:y val="-2.0854498301079282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4"/>
              <c:layout>
                <c:manualLayout>
                  <c:x val="1.2045188831498679E-2"/>
                  <c:y val="-5.2223129085954223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5"/>
              <c:layout>
                <c:manualLayout>
                  <c:x val="1.1821198858486709E-2"/>
                  <c:y val="-5.6849260237280479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курси'!$C$119:$P$119</c:f>
              <c:strCache>
                <c:ptCount val="14"/>
                <c:pt idx="0">
                  <c:v>2012-13</c:v>
                </c:pt>
                <c:pt idx="1">
                  <c:v>2013-14</c:v>
                </c:pt>
                <c:pt idx="2">
                  <c:v>2014-15</c:v>
                </c:pt>
                <c:pt idx="3">
                  <c:v>2015-16</c:v>
                </c:pt>
                <c:pt idx="4">
                  <c:v>2016-17</c:v>
                </c:pt>
                <c:pt idx="5">
                  <c:v>2017-18</c:v>
                </c:pt>
                <c:pt idx="6">
                  <c:v>2018-19</c:v>
                </c:pt>
                <c:pt idx="7">
                  <c:v>2018-19</c:v>
                </c:pt>
                <c:pt idx="8">
                  <c:v>2019-20</c:v>
                </c:pt>
                <c:pt idx="9">
                  <c:v>2021-22</c:v>
                </c:pt>
                <c:pt idx="10">
                  <c:v>2022-23</c:v>
                </c:pt>
                <c:pt idx="11">
                  <c:v>2023-24</c:v>
                </c:pt>
                <c:pt idx="12">
                  <c:v>2024-25</c:v>
                </c:pt>
                <c:pt idx="13">
                  <c:v>2025-26</c:v>
                </c:pt>
              </c:strCache>
            </c:strRef>
          </c:cat>
          <c:val>
            <c:numRef>
              <c:f>'всі курси'!$C$120:$P$120</c:f>
              <c:numCache>
                <c:formatCode>General</c:formatCode>
                <c:ptCount val="14"/>
                <c:pt idx="0">
                  <c:v>86.7</c:v>
                </c:pt>
                <c:pt idx="1">
                  <c:v>94.7</c:v>
                </c:pt>
                <c:pt idx="2">
                  <c:v>94.2</c:v>
                </c:pt>
                <c:pt idx="3">
                  <c:v>91.9</c:v>
                </c:pt>
                <c:pt idx="4">
                  <c:v>93.8</c:v>
                </c:pt>
                <c:pt idx="5">
                  <c:v>93.6</c:v>
                </c:pt>
                <c:pt idx="6">
                  <c:v>96.4</c:v>
                </c:pt>
                <c:pt idx="7">
                  <c:v>96.4</c:v>
                </c:pt>
                <c:pt idx="8">
                  <c:v>96.1</c:v>
                </c:pt>
                <c:pt idx="9">
                  <c:v>96.6</c:v>
                </c:pt>
                <c:pt idx="10">
                  <c:v>95</c:v>
                </c:pt>
                <c:pt idx="11">
                  <c:v>98.1</c:v>
                </c:pt>
                <c:pt idx="12">
                  <c:v>95.4</c:v>
                </c:pt>
                <c:pt idx="13">
                  <c:v>96.6</c:v>
                </c:pt>
              </c:numCache>
            </c:numRef>
          </c:val>
        </c:ser>
        <c:ser>
          <c:idx val="1"/>
          <c:order val="1"/>
          <c:tx>
            <c:strRef>
              <c:f>'всі курси'!$B$121</c:f>
              <c:strCache>
                <c:ptCount val="1"/>
                <c:pt idx="0">
                  <c:v>Показник якості</c:v>
                </c:pt>
              </c:strCache>
            </c:strRef>
          </c:tx>
          <c:spPr>
            <a:solidFill>
              <a:srgbClr val="99CCFF"/>
            </a:solidFill>
          </c:spPr>
          <c:invertIfNegative val="0"/>
          <c:dLbls>
            <c:dLbl>
              <c:idx val="0"/>
              <c:layout>
                <c:manualLayout>
                  <c:x val="2.927520528253371E-2"/>
                  <c:y val="-3.4027544629340711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1"/>
              <c:layout>
                <c:manualLayout>
                  <c:x val="1.8315479703391212E-2"/>
                  <c:y val="-3.1752029712450981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2"/>
              <c:layout>
                <c:manualLayout>
                  <c:x val="4.067062220560045E-2"/>
                  <c:y val="-4.8212123110245669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3"/>
              <c:layout>
                <c:manualLayout>
                  <c:x val="3.3725713253053562E-2"/>
                  <c:y val="-2.2707933815449791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4"/>
              <c:layout>
                <c:manualLayout>
                  <c:x val="4.0222507488232716E-2"/>
                  <c:y val="-7.7608741411303597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5"/>
              <c:layout>
                <c:manualLayout>
                  <c:x val="3.7431123420227121E-2"/>
                  <c:y val="-8.0253529588893854E-2"/>
                </c:manualLayout>
              </c:layout>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курси'!$C$119:$P$119</c:f>
              <c:strCache>
                <c:ptCount val="14"/>
                <c:pt idx="0">
                  <c:v>2012-13</c:v>
                </c:pt>
                <c:pt idx="1">
                  <c:v>2013-14</c:v>
                </c:pt>
                <c:pt idx="2">
                  <c:v>2014-15</c:v>
                </c:pt>
                <c:pt idx="3">
                  <c:v>2015-16</c:v>
                </c:pt>
                <c:pt idx="4">
                  <c:v>2016-17</c:v>
                </c:pt>
                <c:pt idx="5">
                  <c:v>2017-18</c:v>
                </c:pt>
                <c:pt idx="6">
                  <c:v>2018-19</c:v>
                </c:pt>
                <c:pt idx="7">
                  <c:v>2018-19</c:v>
                </c:pt>
                <c:pt idx="8">
                  <c:v>2019-20</c:v>
                </c:pt>
                <c:pt idx="9">
                  <c:v>2021-22</c:v>
                </c:pt>
                <c:pt idx="10">
                  <c:v>2022-23</c:v>
                </c:pt>
                <c:pt idx="11">
                  <c:v>2023-24</c:v>
                </c:pt>
                <c:pt idx="12">
                  <c:v>2024-25</c:v>
                </c:pt>
                <c:pt idx="13">
                  <c:v>2025-26</c:v>
                </c:pt>
              </c:strCache>
            </c:strRef>
          </c:cat>
          <c:val>
            <c:numRef>
              <c:f>'всі курси'!$C$121:$P$121</c:f>
              <c:numCache>
                <c:formatCode>General</c:formatCode>
                <c:ptCount val="14"/>
                <c:pt idx="0">
                  <c:v>73.2</c:v>
                </c:pt>
                <c:pt idx="1">
                  <c:v>79.099999999999994</c:v>
                </c:pt>
                <c:pt idx="2">
                  <c:v>76.5</c:v>
                </c:pt>
                <c:pt idx="3">
                  <c:v>73.7</c:v>
                </c:pt>
                <c:pt idx="4">
                  <c:v>78.8</c:v>
                </c:pt>
                <c:pt idx="5">
                  <c:v>78.400000000000006</c:v>
                </c:pt>
                <c:pt idx="6">
                  <c:v>78.099999999999994</c:v>
                </c:pt>
                <c:pt idx="7">
                  <c:v>78.099999999999994</c:v>
                </c:pt>
                <c:pt idx="8">
                  <c:v>82.4</c:v>
                </c:pt>
                <c:pt idx="9">
                  <c:v>84.1</c:v>
                </c:pt>
                <c:pt idx="10">
                  <c:v>81.900000000000006</c:v>
                </c:pt>
                <c:pt idx="11">
                  <c:v>86.3</c:v>
                </c:pt>
                <c:pt idx="12">
                  <c:v>76.599999999999994</c:v>
                </c:pt>
                <c:pt idx="13">
                  <c:v>73.099999999999994</c:v>
                </c:pt>
              </c:numCache>
            </c:numRef>
          </c:val>
        </c:ser>
        <c:dLbls>
          <c:showLegendKey val="0"/>
          <c:showVal val="0"/>
          <c:showCatName val="0"/>
          <c:showSerName val="0"/>
          <c:showPercent val="0"/>
          <c:showBubbleSize val="0"/>
        </c:dLbls>
        <c:gapWidth val="150"/>
        <c:shape val="box"/>
        <c:axId val="154315776"/>
        <c:axId val="154321664"/>
        <c:axId val="0"/>
      </c:bar3DChart>
      <c:catAx>
        <c:axId val="154315776"/>
        <c:scaling>
          <c:orientation val="minMax"/>
        </c:scaling>
        <c:delete val="0"/>
        <c:axPos val="b"/>
        <c:numFmt formatCode="General" sourceLinked="1"/>
        <c:majorTickMark val="out"/>
        <c:minorTickMark val="none"/>
        <c:tickLblPos val="low"/>
        <c:txPr>
          <a:bodyPr rot="-5400000" vert="horz"/>
          <a:lstStyle/>
          <a:p>
            <a:pPr>
              <a:defRPr sz="1200" b="1" i="0" u="none" strike="noStrike" baseline="0">
                <a:solidFill>
                  <a:srgbClr val="000000"/>
                </a:solidFill>
                <a:latin typeface="Calibri"/>
                <a:ea typeface="Calibri"/>
                <a:cs typeface="Calibri"/>
              </a:defRPr>
            </a:pPr>
            <a:endParaRPr lang="uk-UA"/>
          </a:p>
        </c:txPr>
        <c:crossAx val="154321664"/>
        <c:crosses val="autoZero"/>
        <c:auto val="1"/>
        <c:lblAlgn val="ctr"/>
        <c:lblOffset val="100"/>
        <c:tickLblSkip val="1"/>
        <c:tickMarkSkip val="1"/>
        <c:noMultiLvlLbl val="0"/>
      </c:catAx>
      <c:valAx>
        <c:axId val="154321664"/>
        <c:scaling>
          <c:orientation val="minMax"/>
          <c:max val="100"/>
          <c:min val="50"/>
        </c:scaling>
        <c:delete val="0"/>
        <c:axPos val="l"/>
        <c:majorGridlines/>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4315776"/>
        <c:crosses val="autoZero"/>
        <c:crossBetween val="between"/>
        <c:majorUnit val="10"/>
      </c:valAx>
      <c:spPr>
        <a:noFill/>
        <a:ln w="25400">
          <a:noFill/>
        </a:ln>
      </c:spPr>
    </c:plotArea>
    <c:legend>
      <c:legendPos val="r"/>
      <c:layout>
        <c:manualLayout>
          <c:xMode val="edge"/>
          <c:yMode val="edge"/>
          <c:x val="0.23133430108945879"/>
          <c:y val="1.5337423312883436E-2"/>
          <c:w val="0.59608357893810759"/>
          <c:h val="8.8957055214723926E-2"/>
        </c:manualLayout>
      </c:layout>
      <c:overlay val="0"/>
      <c:txPr>
        <a:bodyPr/>
        <a:lstStyle/>
        <a:p>
          <a:pPr>
            <a:defRPr sz="1600" b="1" i="0" u="none" strike="noStrike" baseline="0">
              <a:solidFill>
                <a:srgbClr val="000000"/>
              </a:solidFill>
              <a:latin typeface="Calibri"/>
              <a:ea typeface="Calibri"/>
              <a:cs typeface="Calibri"/>
            </a:defRPr>
          </a:pPr>
          <a:endParaRPr lang="uk-UA"/>
        </a:p>
      </c:txPr>
    </c:legend>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1" u="none" strike="noStrike" baseline="0">
                <a:solidFill>
                  <a:srgbClr val="000000"/>
                </a:solidFill>
                <a:latin typeface="Arial Cyr"/>
                <a:ea typeface="Arial Cyr"/>
                <a:cs typeface="Arial Cyr"/>
              </a:defRPr>
            </a:pPr>
            <a:r>
              <a:rPr lang="ru-RU"/>
              <a:t>Динаміка контингенту студентів, 
які складали зимову сесію</a:t>
            </a:r>
          </a:p>
        </c:rich>
      </c:tx>
      <c:layout>
        <c:manualLayout>
          <c:xMode val="edge"/>
          <c:yMode val="edge"/>
          <c:x val="0.33911017916238728"/>
          <c:y val="1.066101250618009E-2"/>
        </c:manualLayout>
      </c:layout>
      <c:overlay val="0"/>
      <c:spPr>
        <a:noFill/>
        <a:ln w="25400">
          <a:noFill/>
        </a:ln>
      </c:spPr>
    </c:title>
    <c:autoTitleDeleted val="0"/>
    <c:view3D>
      <c:rotX val="63"/>
      <c:hPercent val="51"/>
      <c:rotY val="44"/>
      <c:depthPercent val="100"/>
      <c:rAngAx val="1"/>
    </c:view3D>
    <c:floor>
      <c:thickness val="0"/>
      <c:spPr>
        <a:noFill/>
        <a:ln w="9525">
          <a:noFill/>
        </a:ln>
      </c:spPr>
    </c:floor>
    <c:sideWall>
      <c:thickness val="0"/>
      <c:spPr>
        <a:noFill/>
        <a:ln w="12700">
          <a:solidFill>
            <a:srgbClr val="808080"/>
          </a:solidFill>
          <a:prstDash val="solid"/>
        </a:ln>
      </c:spPr>
    </c:sideWall>
    <c:backWall>
      <c:thickness val="0"/>
      <c:spPr>
        <a:noFill/>
        <a:ln w="25400">
          <a:noFill/>
        </a:ln>
      </c:spPr>
    </c:backWall>
    <c:plotArea>
      <c:layout>
        <c:manualLayout>
          <c:layoutTarget val="inner"/>
          <c:xMode val="edge"/>
          <c:yMode val="edge"/>
          <c:x val="3.518714739128509E-2"/>
          <c:y val="9.9900108259157447E-2"/>
          <c:w val="0.96331607776032435"/>
          <c:h val="0.78252501623207094"/>
        </c:manualLayout>
      </c:layout>
      <c:bar3DChart>
        <c:barDir val="col"/>
        <c:grouping val="clustered"/>
        <c:varyColors val="0"/>
        <c:ser>
          <c:idx val="0"/>
          <c:order val="0"/>
          <c:tx>
            <c:strRef>
              <c:f>'всі курси'!$B$104</c:f>
              <c:strCache>
                <c:ptCount val="1"/>
                <c:pt idx="0">
                  <c:v>2012-13</c:v>
                </c:pt>
              </c:strCache>
            </c:strRef>
          </c:tx>
          <c:spPr>
            <a:solidFill>
              <a:srgbClr val="FF8F8F"/>
            </a:solidFill>
            <a:ln w="12700">
              <a:solidFill>
                <a:srgbClr val="000000"/>
              </a:solidFill>
              <a:prstDash val="solid"/>
            </a:ln>
          </c:spPr>
          <c:invertIfNegative val="0"/>
          <c:cat>
            <c:strRef>
              <c:f>'всі курси'!$C$103:$E$103</c:f>
              <c:strCache>
                <c:ptCount val="3"/>
                <c:pt idx="0">
                  <c:v>Денна</c:v>
                </c:pt>
                <c:pt idx="1">
                  <c:v>Заочна</c:v>
                </c:pt>
                <c:pt idx="2">
                  <c:v>Разом</c:v>
                </c:pt>
              </c:strCache>
            </c:strRef>
          </c:cat>
          <c:val>
            <c:numRef>
              <c:f>'всі курси'!$C$104:$E$104</c:f>
              <c:numCache>
                <c:formatCode>General</c:formatCode>
                <c:ptCount val="3"/>
                <c:pt idx="0">
                  <c:v>1431</c:v>
                </c:pt>
                <c:pt idx="1">
                  <c:v>4183</c:v>
                </c:pt>
                <c:pt idx="2">
                  <c:v>5614</c:v>
                </c:pt>
              </c:numCache>
            </c:numRef>
          </c:val>
        </c:ser>
        <c:ser>
          <c:idx val="1"/>
          <c:order val="1"/>
          <c:tx>
            <c:strRef>
              <c:f>'всі курси'!$B$105</c:f>
              <c:strCache>
                <c:ptCount val="1"/>
                <c:pt idx="0">
                  <c:v>2013-14</c:v>
                </c:pt>
              </c:strCache>
            </c:strRef>
          </c:tx>
          <c:spPr>
            <a:solidFill>
              <a:srgbClr val="FFC000"/>
            </a:solidFill>
            <a:ln w="12700">
              <a:solidFill>
                <a:srgbClr val="000000"/>
              </a:solidFill>
              <a:prstDash val="solid"/>
            </a:ln>
          </c:spPr>
          <c:invertIfNegative val="0"/>
          <c:cat>
            <c:strRef>
              <c:f>'всі курси'!$C$103:$E$103</c:f>
              <c:strCache>
                <c:ptCount val="3"/>
                <c:pt idx="0">
                  <c:v>Денна</c:v>
                </c:pt>
                <c:pt idx="1">
                  <c:v>Заочна</c:v>
                </c:pt>
                <c:pt idx="2">
                  <c:v>Разом</c:v>
                </c:pt>
              </c:strCache>
            </c:strRef>
          </c:cat>
          <c:val>
            <c:numRef>
              <c:f>'всі курси'!$C$105:$E$105</c:f>
              <c:numCache>
                <c:formatCode>General</c:formatCode>
                <c:ptCount val="3"/>
                <c:pt idx="0">
                  <c:v>1371</c:v>
                </c:pt>
                <c:pt idx="1">
                  <c:v>3106</c:v>
                </c:pt>
                <c:pt idx="2">
                  <c:v>4477</c:v>
                </c:pt>
              </c:numCache>
            </c:numRef>
          </c:val>
        </c:ser>
        <c:ser>
          <c:idx val="2"/>
          <c:order val="2"/>
          <c:tx>
            <c:strRef>
              <c:f>'всі курси'!$B$106</c:f>
              <c:strCache>
                <c:ptCount val="1"/>
                <c:pt idx="0">
                  <c:v>2014-15</c:v>
                </c:pt>
              </c:strCache>
            </c:strRef>
          </c:tx>
          <c:spPr>
            <a:solidFill>
              <a:srgbClr val="FFFF00"/>
            </a:solidFill>
            <a:ln w="12700">
              <a:solidFill>
                <a:srgbClr val="000000"/>
              </a:solidFill>
              <a:prstDash val="solid"/>
            </a:ln>
          </c:spPr>
          <c:invertIfNegative val="0"/>
          <c:cat>
            <c:strRef>
              <c:f>'всі курси'!$C$103:$E$103</c:f>
              <c:strCache>
                <c:ptCount val="3"/>
                <c:pt idx="0">
                  <c:v>Денна</c:v>
                </c:pt>
                <c:pt idx="1">
                  <c:v>Заочна</c:v>
                </c:pt>
                <c:pt idx="2">
                  <c:v>Разом</c:v>
                </c:pt>
              </c:strCache>
            </c:strRef>
          </c:cat>
          <c:val>
            <c:numRef>
              <c:f>'всі курси'!$C$106:$E$106</c:f>
              <c:numCache>
                <c:formatCode>General</c:formatCode>
                <c:ptCount val="3"/>
                <c:pt idx="0">
                  <c:v>1344</c:v>
                </c:pt>
                <c:pt idx="1">
                  <c:v>2256</c:v>
                </c:pt>
                <c:pt idx="2">
                  <c:v>3600</c:v>
                </c:pt>
              </c:numCache>
            </c:numRef>
          </c:val>
        </c:ser>
        <c:ser>
          <c:idx val="3"/>
          <c:order val="3"/>
          <c:tx>
            <c:strRef>
              <c:f>'всі курси'!$B$107</c:f>
              <c:strCache>
                <c:ptCount val="1"/>
                <c:pt idx="0">
                  <c:v>2015-16</c:v>
                </c:pt>
              </c:strCache>
            </c:strRef>
          </c:tx>
          <c:spPr>
            <a:solidFill>
              <a:srgbClr val="89FF89"/>
            </a:solidFill>
            <a:ln w="12700">
              <a:solidFill>
                <a:srgbClr val="000000"/>
              </a:solidFill>
              <a:prstDash val="solid"/>
            </a:ln>
          </c:spPr>
          <c:invertIfNegative val="0"/>
          <c:cat>
            <c:strRef>
              <c:f>'всі курси'!$C$103:$E$103</c:f>
              <c:strCache>
                <c:ptCount val="3"/>
                <c:pt idx="0">
                  <c:v>Денна</c:v>
                </c:pt>
                <c:pt idx="1">
                  <c:v>Заочна</c:v>
                </c:pt>
                <c:pt idx="2">
                  <c:v>Разом</c:v>
                </c:pt>
              </c:strCache>
            </c:strRef>
          </c:cat>
          <c:val>
            <c:numRef>
              <c:f>'всі курси'!$C$107:$E$107</c:f>
              <c:numCache>
                <c:formatCode>General</c:formatCode>
                <c:ptCount val="3"/>
                <c:pt idx="0">
                  <c:v>1286</c:v>
                </c:pt>
                <c:pt idx="1">
                  <c:v>2156</c:v>
                </c:pt>
                <c:pt idx="2">
                  <c:v>3442</c:v>
                </c:pt>
              </c:numCache>
            </c:numRef>
          </c:val>
        </c:ser>
        <c:ser>
          <c:idx val="4"/>
          <c:order val="4"/>
          <c:tx>
            <c:strRef>
              <c:f>'всі курси'!$B$108</c:f>
              <c:strCache>
                <c:ptCount val="1"/>
                <c:pt idx="0">
                  <c:v>2016-17</c:v>
                </c:pt>
              </c:strCache>
            </c:strRef>
          </c:tx>
          <c:spPr>
            <a:solidFill>
              <a:srgbClr val="00B0F0"/>
            </a:solidFill>
            <a:ln w="12700">
              <a:solidFill>
                <a:srgbClr val="000000"/>
              </a:solidFill>
              <a:prstDash val="solid"/>
            </a:ln>
          </c:spPr>
          <c:invertIfNegative val="0"/>
          <c:cat>
            <c:strRef>
              <c:f>'всі курси'!$C$103:$E$103</c:f>
              <c:strCache>
                <c:ptCount val="3"/>
                <c:pt idx="0">
                  <c:v>Денна</c:v>
                </c:pt>
                <c:pt idx="1">
                  <c:v>Заочна</c:v>
                </c:pt>
                <c:pt idx="2">
                  <c:v>Разом</c:v>
                </c:pt>
              </c:strCache>
            </c:strRef>
          </c:cat>
          <c:val>
            <c:numRef>
              <c:f>'всі курси'!$C$108:$E$108</c:f>
              <c:numCache>
                <c:formatCode>General</c:formatCode>
                <c:ptCount val="3"/>
                <c:pt idx="0">
                  <c:v>980</c:v>
                </c:pt>
                <c:pt idx="1">
                  <c:v>2597</c:v>
                </c:pt>
                <c:pt idx="2">
                  <c:v>3577</c:v>
                </c:pt>
              </c:numCache>
            </c:numRef>
          </c:val>
        </c:ser>
        <c:ser>
          <c:idx val="5"/>
          <c:order val="5"/>
          <c:tx>
            <c:strRef>
              <c:f>'всі курси'!$B$109</c:f>
              <c:strCache>
                <c:ptCount val="1"/>
                <c:pt idx="0">
                  <c:v>2017-18</c:v>
                </c:pt>
              </c:strCache>
            </c:strRef>
          </c:tx>
          <c:spPr>
            <a:solidFill>
              <a:srgbClr val="0070C0"/>
            </a:solidFill>
            <a:ln w="12700">
              <a:solidFill>
                <a:srgbClr val="000000"/>
              </a:solidFill>
              <a:prstDash val="solid"/>
            </a:ln>
          </c:spPr>
          <c:invertIfNegative val="0"/>
          <c:cat>
            <c:strRef>
              <c:f>'всі курси'!$C$103:$E$103</c:f>
              <c:strCache>
                <c:ptCount val="3"/>
                <c:pt idx="0">
                  <c:v>Денна</c:v>
                </c:pt>
                <c:pt idx="1">
                  <c:v>Заочна</c:v>
                </c:pt>
                <c:pt idx="2">
                  <c:v>Разом</c:v>
                </c:pt>
              </c:strCache>
            </c:strRef>
          </c:cat>
          <c:val>
            <c:numRef>
              <c:f>'всі курси'!$C$109:$E$109</c:f>
              <c:numCache>
                <c:formatCode>General</c:formatCode>
                <c:ptCount val="3"/>
                <c:pt idx="0">
                  <c:v>1287</c:v>
                </c:pt>
                <c:pt idx="1">
                  <c:v>2352</c:v>
                </c:pt>
                <c:pt idx="2">
                  <c:v>3639</c:v>
                </c:pt>
              </c:numCache>
            </c:numRef>
          </c:val>
        </c:ser>
        <c:ser>
          <c:idx val="6"/>
          <c:order val="6"/>
          <c:tx>
            <c:strRef>
              <c:f>'всі курси'!$B$110</c:f>
              <c:strCache>
                <c:ptCount val="1"/>
                <c:pt idx="0">
                  <c:v>2018-19</c:v>
                </c:pt>
              </c:strCache>
            </c:strRef>
          </c:tx>
          <c:spPr>
            <a:solidFill>
              <a:srgbClr val="7030A0"/>
            </a:solidFill>
            <a:ln w="12700">
              <a:solidFill>
                <a:srgbClr val="000000"/>
              </a:solidFill>
              <a:prstDash val="solid"/>
            </a:ln>
          </c:spPr>
          <c:invertIfNegative val="0"/>
          <c:cat>
            <c:strRef>
              <c:f>'всі курси'!$C$103:$E$103</c:f>
              <c:strCache>
                <c:ptCount val="3"/>
                <c:pt idx="0">
                  <c:v>Денна</c:v>
                </c:pt>
                <c:pt idx="1">
                  <c:v>Заочна</c:v>
                </c:pt>
                <c:pt idx="2">
                  <c:v>Разом</c:v>
                </c:pt>
              </c:strCache>
            </c:strRef>
          </c:cat>
          <c:val>
            <c:numRef>
              <c:f>'всі курси'!$C$110:$E$110</c:f>
              <c:numCache>
                <c:formatCode>General</c:formatCode>
                <c:ptCount val="3"/>
                <c:pt idx="0">
                  <c:v>939</c:v>
                </c:pt>
                <c:pt idx="1">
                  <c:v>1203</c:v>
                </c:pt>
                <c:pt idx="2">
                  <c:v>2142</c:v>
                </c:pt>
              </c:numCache>
            </c:numRef>
          </c:val>
        </c:ser>
        <c:ser>
          <c:idx val="9"/>
          <c:order val="7"/>
          <c:tx>
            <c:strRef>
              <c:f>'всі курси'!$B$111</c:f>
              <c:strCache>
                <c:ptCount val="1"/>
                <c:pt idx="0">
                  <c:v>2019-20</c:v>
                </c:pt>
              </c:strCache>
            </c:strRef>
          </c:tx>
          <c:invertIfNegative val="0"/>
          <c:cat>
            <c:strRef>
              <c:f>'всі курси'!$C$103:$E$103</c:f>
              <c:strCache>
                <c:ptCount val="3"/>
                <c:pt idx="0">
                  <c:v>Денна</c:v>
                </c:pt>
                <c:pt idx="1">
                  <c:v>Заочна</c:v>
                </c:pt>
                <c:pt idx="2">
                  <c:v>Разом</c:v>
                </c:pt>
              </c:strCache>
            </c:strRef>
          </c:cat>
          <c:val>
            <c:numRef>
              <c:f>'всі курси'!$C$111:$E$111</c:f>
              <c:numCache>
                <c:formatCode>General</c:formatCode>
                <c:ptCount val="3"/>
                <c:pt idx="0">
                  <c:v>953</c:v>
                </c:pt>
                <c:pt idx="1">
                  <c:v>1593</c:v>
                </c:pt>
                <c:pt idx="2">
                  <c:v>2546</c:v>
                </c:pt>
              </c:numCache>
            </c:numRef>
          </c:val>
        </c:ser>
        <c:ser>
          <c:idx val="7"/>
          <c:order val="8"/>
          <c:tx>
            <c:strRef>
              <c:f>'всі курси'!$B$112</c:f>
              <c:strCache>
                <c:ptCount val="1"/>
                <c:pt idx="0">
                  <c:v>2020-21</c:v>
                </c:pt>
              </c:strCache>
            </c:strRef>
          </c:tx>
          <c:spPr>
            <a:solidFill>
              <a:srgbClr val="FF66CC"/>
            </a:solidFill>
          </c:spPr>
          <c:invertIfNegative val="0"/>
          <c:cat>
            <c:strRef>
              <c:f>'всі курси'!$C$103:$E$103</c:f>
              <c:strCache>
                <c:ptCount val="3"/>
                <c:pt idx="0">
                  <c:v>Денна</c:v>
                </c:pt>
                <c:pt idx="1">
                  <c:v>Заочна</c:v>
                </c:pt>
                <c:pt idx="2">
                  <c:v>Разом</c:v>
                </c:pt>
              </c:strCache>
            </c:strRef>
          </c:cat>
          <c:val>
            <c:numRef>
              <c:f>'всі курси'!$C$112:$E$112</c:f>
              <c:numCache>
                <c:formatCode>General</c:formatCode>
                <c:ptCount val="3"/>
                <c:pt idx="0">
                  <c:v>762</c:v>
                </c:pt>
                <c:pt idx="1">
                  <c:v>1542</c:v>
                </c:pt>
                <c:pt idx="2">
                  <c:v>2304</c:v>
                </c:pt>
              </c:numCache>
            </c:numRef>
          </c:val>
        </c:ser>
        <c:ser>
          <c:idx val="8"/>
          <c:order val="9"/>
          <c:tx>
            <c:strRef>
              <c:f>'всі курси'!$B$113</c:f>
              <c:strCache>
                <c:ptCount val="1"/>
                <c:pt idx="0">
                  <c:v>2021-22</c:v>
                </c:pt>
              </c:strCache>
            </c:strRef>
          </c:tx>
          <c:invertIfNegative val="0"/>
          <c:cat>
            <c:strRef>
              <c:f>'всі курси'!$C$103:$E$103</c:f>
              <c:strCache>
                <c:ptCount val="3"/>
                <c:pt idx="0">
                  <c:v>Денна</c:v>
                </c:pt>
                <c:pt idx="1">
                  <c:v>Заочна</c:v>
                </c:pt>
                <c:pt idx="2">
                  <c:v>Разом</c:v>
                </c:pt>
              </c:strCache>
            </c:strRef>
          </c:cat>
          <c:val>
            <c:numRef>
              <c:f>'всі курси'!$C$113:$E$113</c:f>
              <c:numCache>
                <c:formatCode>General</c:formatCode>
                <c:ptCount val="3"/>
                <c:pt idx="0">
                  <c:v>735</c:v>
                </c:pt>
                <c:pt idx="1">
                  <c:v>1639</c:v>
                </c:pt>
                <c:pt idx="2">
                  <c:v>2374</c:v>
                </c:pt>
              </c:numCache>
            </c:numRef>
          </c:val>
        </c:ser>
        <c:ser>
          <c:idx val="10"/>
          <c:order val="10"/>
          <c:tx>
            <c:strRef>
              <c:f>'всі курси'!$B$114</c:f>
              <c:strCache>
                <c:ptCount val="1"/>
                <c:pt idx="0">
                  <c:v>2022-23</c:v>
                </c:pt>
              </c:strCache>
            </c:strRef>
          </c:tx>
          <c:invertIfNegative val="0"/>
          <c:cat>
            <c:strRef>
              <c:f>'всі курси'!$C$103:$E$103</c:f>
              <c:strCache>
                <c:ptCount val="3"/>
                <c:pt idx="0">
                  <c:v>Денна</c:v>
                </c:pt>
                <c:pt idx="1">
                  <c:v>Заочна</c:v>
                </c:pt>
                <c:pt idx="2">
                  <c:v>Разом</c:v>
                </c:pt>
              </c:strCache>
            </c:strRef>
          </c:cat>
          <c:val>
            <c:numRef>
              <c:f>'всі курси'!$C$114:$E$114</c:f>
              <c:numCache>
                <c:formatCode>General</c:formatCode>
                <c:ptCount val="3"/>
                <c:pt idx="0">
                  <c:v>1571</c:v>
                </c:pt>
                <c:pt idx="1">
                  <c:v>1172</c:v>
                </c:pt>
                <c:pt idx="2">
                  <c:v>2743</c:v>
                </c:pt>
              </c:numCache>
            </c:numRef>
          </c:val>
        </c:ser>
        <c:ser>
          <c:idx val="11"/>
          <c:order val="11"/>
          <c:tx>
            <c:strRef>
              <c:f>'всі курси'!$B$115</c:f>
              <c:strCache>
                <c:ptCount val="1"/>
                <c:pt idx="0">
                  <c:v>2023-24</c:v>
                </c:pt>
              </c:strCache>
            </c:strRef>
          </c:tx>
          <c:invertIfNegative val="0"/>
          <c:cat>
            <c:strRef>
              <c:f>'всі курси'!$C$103:$E$103</c:f>
              <c:strCache>
                <c:ptCount val="3"/>
                <c:pt idx="0">
                  <c:v>Денна</c:v>
                </c:pt>
                <c:pt idx="1">
                  <c:v>Заочна</c:v>
                </c:pt>
                <c:pt idx="2">
                  <c:v>Разом</c:v>
                </c:pt>
              </c:strCache>
            </c:strRef>
          </c:cat>
          <c:val>
            <c:numRef>
              <c:f>'всі курси'!$C$115:$E$115</c:f>
              <c:numCache>
                <c:formatCode>General</c:formatCode>
                <c:ptCount val="3"/>
                <c:pt idx="0">
                  <c:v>3192</c:v>
                </c:pt>
                <c:pt idx="1">
                  <c:v>1185</c:v>
                </c:pt>
                <c:pt idx="2">
                  <c:v>4377</c:v>
                </c:pt>
              </c:numCache>
            </c:numRef>
          </c:val>
        </c:ser>
        <c:ser>
          <c:idx val="12"/>
          <c:order val="12"/>
          <c:tx>
            <c:strRef>
              <c:f>'всі курси'!$B$116</c:f>
              <c:strCache>
                <c:ptCount val="1"/>
                <c:pt idx="0">
                  <c:v>2024-25</c:v>
                </c:pt>
              </c:strCache>
            </c:strRef>
          </c:tx>
          <c:invertIfNegative val="0"/>
          <c:cat>
            <c:strRef>
              <c:f>'всі курси'!$C$103:$E$103</c:f>
              <c:strCache>
                <c:ptCount val="3"/>
                <c:pt idx="0">
                  <c:v>Денна</c:v>
                </c:pt>
                <c:pt idx="1">
                  <c:v>Заочна</c:v>
                </c:pt>
                <c:pt idx="2">
                  <c:v>Разом</c:v>
                </c:pt>
              </c:strCache>
            </c:strRef>
          </c:cat>
          <c:val>
            <c:numRef>
              <c:f>'всі курси'!$C$116:$E$116</c:f>
              <c:numCache>
                <c:formatCode>General</c:formatCode>
                <c:ptCount val="3"/>
                <c:pt idx="0">
                  <c:v>2334</c:v>
                </c:pt>
                <c:pt idx="1">
                  <c:v>838</c:v>
                </c:pt>
                <c:pt idx="2">
                  <c:v>3172</c:v>
                </c:pt>
              </c:numCache>
            </c:numRef>
          </c:val>
        </c:ser>
        <c:ser>
          <c:idx val="13"/>
          <c:order val="13"/>
          <c:tx>
            <c:strRef>
              <c:f>'всі курси'!$B$117</c:f>
              <c:strCache>
                <c:ptCount val="1"/>
                <c:pt idx="0">
                  <c:v>2025-26</c:v>
                </c:pt>
              </c:strCache>
            </c:strRef>
          </c:tx>
          <c:invertIfNegative val="0"/>
          <c:cat>
            <c:strRef>
              <c:f>'всі курси'!$C$103:$E$103</c:f>
              <c:strCache>
                <c:ptCount val="3"/>
                <c:pt idx="0">
                  <c:v>Денна</c:v>
                </c:pt>
                <c:pt idx="1">
                  <c:v>Заочна</c:v>
                </c:pt>
                <c:pt idx="2">
                  <c:v>Разом</c:v>
                </c:pt>
              </c:strCache>
            </c:strRef>
          </c:cat>
          <c:val>
            <c:numRef>
              <c:f>'всі курси'!$C$117:$E$117</c:f>
              <c:numCache>
                <c:formatCode>General</c:formatCode>
                <c:ptCount val="3"/>
                <c:pt idx="0">
                  <c:v>2013</c:v>
                </c:pt>
                <c:pt idx="1">
                  <c:v>921</c:v>
                </c:pt>
                <c:pt idx="2">
                  <c:v>2934</c:v>
                </c:pt>
              </c:numCache>
            </c:numRef>
          </c:val>
        </c:ser>
        <c:dLbls>
          <c:showLegendKey val="0"/>
          <c:showVal val="0"/>
          <c:showCatName val="0"/>
          <c:showSerName val="0"/>
          <c:showPercent val="0"/>
          <c:showBubbleSize val="0"/>
        </c:dLbls>
        <c:gapWidth val="150"/>
        <c:shape val="box"/>
        <c:axId val="154520960"/>
        <c:axId val="154526848"/>
        <c:axId val="0"/>
      </c:bar3DChart>
      <c:catAx>
        <c:axId val="1545209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uk-UA"/>
          </a:p>
        </c:txPr>
        <c:crossAx val="154526848"/>
        <c:crosses val="autoZero"/>
        <c:auto val="1"/>
        <c:lblAlgn val="ctr"/>
        <c:lblOffset val="100"/>
        <c:tickLblSkip val="1"/>
        <c:tickMarkSkip val="1"/>
        <c:noMultiLvlLbl val="0"/>
      </c:catAx>
      <c:valAx>
        <c:axId val="154526848"/>
        <c:scaling>
          <c:orientation val="minMax"/>
          <c:max val="750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uk-UA"/>
          </a:p>
        </c:txPr>
        <c:crossAx val="154520960"/>
        <c:crosses val="autoZero"/>
        <c:crossBetween val="between"/>
        <c:majorUnit val="2000"/>
      </c:valAx>
      <c:spPr>
        <a:noFill/>
        <a:ln w="25400">
          <a:noFill/>
        </a:ln>
      </c:spPr>
    </c:plotArea>
    <c:legend>
      <c:legendPos val="r"/>
      <c:legendEntry>
        <c:idx val="0"/>
        <c:txPr>
          <a:bodyPr/>
          <a:lstStyle/>
          <a:p>
            <a:pPr>
              <a:defRPr sz="800" b="1" i="0" u="none" strike="noStrike" baseline="0">
                <a:solidFill>
                  <a:srgbClr val="000000"/>
                </a:solidFill>
                <a:latin typeface="Arial" pitchFamily="34" charset="0"/>
                <a:ea typeface="Arial Cyr"/>
                <a:cs typeface="Arial" pitchFamily="34" charset="0"/>
              </a:defRPr>
            </a:pPr>
            <a:endParaRPr lang="uk-UA"/>
          </a:p>
        </c:txPr>
      </c:legendEntry>
      <c:layout>
        <c:manualLayout>
          <c:xMode val="edge"/>
          <c:yMode val="edge"/>
          <c:x val="0"/>
          <c:y val="0.28123064262984826"/>
          <c:w val="7.7670633912696393E-2"/>
          <c:h val="0.45478407862413078"/>
        </c:manualLayout>
      </c:layout>
      <c:overlay val="0"/>
      <c:spPr>
        <a:solidFill>
          <a:srgbClr val="FFFFFF"/>
        </a:solidFill>
        <a:ln w="3175">
          <a:solidFill>
            <a:srgbClr val="000000"/>
          </a:solidFill>
          <a:prstDash val="solid"/>
        </a:ln>
      </c:spPr>
      <c:txPr>
        <a:bodyPr/>
        <a:lstStyle/>
        <a:p>
          <a:pPr>
            <a:defRPr sz="800" b="1" i="0" u="none" strike="noStrike" baseline="0">
              <a:solidFill>
                <a:srgbClr val="000000"/>
              </a:solidFill>
              <a:latin typeface="Arial" pitchFamily="34" charset="0"/>
              <a:ea typeface="Arial Cyr"/>
              <a:cs typeface="Arial" pitchFamily="34" charset="0"/>
            </a:defRPr>
          </a:pPr>
          <a:endParaRPr lang="uk-UA"/>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Cyr"/>
          <a:ea typeface="Arial Cyr"/>
          <a:cs typeface="Arial Cyr"/>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600" b="1" i="0" u="none" strike="noStrike" baseline="0">
                <a:solidFill>
                  <a:srgbClr val="000000"/>
                </a:solidFill>
                <a:latin typeface="Calibri"/>
                <a:ea typeface="Calibri"/>
                <a:cs typeface="Calibri"/>
              </a:defRPr>
            </a:pPr>
            <a:r>
              <a:rPr lang="ru-RU" sz="1600"/>
              <a:t>Кількість студентів заочної форми навчання</a:t>
            </a:r>
          </a:p>
        </c:rich>
      </c:tx>
      <c:layout>
        <c:manualLayout>
          <c:xMode val="edge"/>
          <c:yMode val="edge"/>
          <c:x val="0.15954033134393233"/>
          <c:y val="6.0652895160721046E-2"/>
        </c:manualLayout>
      </c:layout>
      <c:overlay val="0"/>
    </c:title>
    <c:autoTitleDeleted val="0"/>
    <c:plotArea>
      <c:layout>
        <c:manualLayout>
          <c:layoutTarget val="inner"/>
          <c:xMode val="edge"/>
          <c:yMode val="edge"/>
          <c:x val="8.7898089171974517E-2"/>
          <c:y val="0.28289519122505785"/>
          <c:w val="0.87133757961783442"/>
          <c:h val="0.5394745507082499"/>
        </c:manualLayout>
      </c:layout>
      <c:barChart>
        <c:barDir val="col"/>
        <c:grouping val="clustered"/>
        <c:varyColors val="0"/>
        <c:ser>
          <c:idx val="0"/>
          <c:order val="0"/>
          <c:spPr>
            <a:solidFill>
              <a:schemeClr val="accent1"/>
            </a:solidFill>
          </c:spPr>
          <c:invertIfNegative val="0"/>
          <c:dLbls>
            <c:dLbl>
              <c:idx val="1"/>
              <c:layout>
                <c:manualLayout>
                  <c:x val="5.413317441788747E-4"/>
                  <c:y val="-4.0151820453636522E-2"/>
                </c:manualLayout>
              </c:layout>
              <c:spPr/>
              <c:txPr>
                <a:bodyPr/>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курси'!$B$24:$B$30</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курси'!$AC$24:$AC$30</c:f>
              <c:numCache>
                <c:formatCode>General</c:formatCode>
                <c:ptCount val="7"/>
                <c:pt idx="0">
                  <c:v>235</c:v>
                </c:pt>
                <c:pt idx="1">
                  <c:v>229</c:v>
                </c:pt>
                <c:pt idx="2">
                  <c:v>293</c:v>
                </c:pt>
                <c:pt idx="3">
                  <c:v>13</c:v>
                </c:pt>
                <c:pt idx="4">
                  <c:v>130</c:v>
                </c:pt>
                <c:pt idx="5">
                  <c:v>17</c:v>
                </c:pt>
                <c:pt idx="6">
                  <c:v>4</c:v>
                </c:pt>
              </c:numCache>
            </c:numRef>
          </c:val>
        </c:ser>
        <c:dLbls>
          <c:showLegendKey val="0"/>
          <c:showVal val="0"/>
          <c:showCatName val="0"/>
          <c:showSerName val="0"/>
          <c:showPercent val="0"/>
          <c:showBubbleSize val="0"/>
        </c:dLbls>
        <c:gapWidth val="140"/>
        <c:axId val="140659712"/>
        <c:axId val="140690176"/>
      </c:barChart>
      <c:catAx>
        <c:axId val="140659712"/>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690176"/>
        <c:crosses val="autoZero"/>
        <c:auto val="1"/>
        <c:lblAlgn val="ctr"/>
        <c:lblOffset val="100"/>
        <c:tickLblSkip val="1"/>
        <c:tickMarkSkip val="1"/>
        <c:noMultiLvlLbl val="0"/>
      </c:catAx>
      <c:valAx>
        <c:axId val="140690176"/>
        <c:scaling>
          <c:orientation val="minMax"/>
          <c:max val="600"/>
          <c:min val="0"/>
        </c:scaling>
        <c:delete val="0"/>
        <c:axPos val="l"/>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659712"/>
        <c:crosses val="autoZero"/>
        <c:crossBetween val="between"/>
        <c:majorUnit val="200"/>
      </c:valAx>
    </c:plotArea>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600" b="1" i="0" u="none" strike="noStrike" baseline="0">
                <a:solidFill>
                  <a:srgbClr val="000000"/>
                </a:solidFill>
                <a:latin typeface="Calibri"/>
                <a:ea typeface="Calibri"/>
                <a:cs typeface="Calibri"/>
              </a:defRPr>
            </a:pPr>
            <a:r>
              <a:rPr lang="ru-RU" sz="1600"/>
              <a:t>Частка інституту денної форми навчання від загальної кількості студентів КПУ</a:t>
            </a:r>
          </a:p>
        </c:rich>
      </c:tx>
      <c:layout>
        <c:manualLayout>
          <c:xMode val="edge"/>
          <c:yMode val="edge"/>
          <c:x val="0.19690900029901326"/>
          <c:y val="2.3686638368600719E-2"/>
        </c:manualLayout>
      </c:layout>
      <c:overlay val="0"/>
    </c:title>
    <c:autoTitleDeleted val="0"/>
    <c:plotArea>
      <c:layout>
        <c:manualLayout>
          <c:layoutTarget val="inner"/>
          <c:xMode val="edge"/>
          <c:yMode val="edge"/>
          <c:x val="9.1139296837480746E-2"/>
          <c:y val="0.12295114773082023"/>
          <c:w val="0.85822837855294365"/>
          <c:h val="0.75683262047638233"/>
        </c:manualLayout>
      </c:layout>
      <c:barChart>
        <c:barDir val="col"/>
        <c:grouping val="clustered"/>
        <c:varyColors val="0"/>
        <c:ser>
          <c:idx val="0"/>
          <c:order val="0"/>
          <c:spPr>
            <a:solidFill>
              <a:srgbClr val="92D050"/>
            </a:solidFill>
          </c:spPr>
          <c:invertIfNegative val="0"/>
          <c:dLbls>
            <c:spPr>
              <a:noFill/>
              <a:ln w="25400">
                <a:noFill/>
              </a:ln>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курси'!$B$9:$B$15</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курси'!$AD$9:$AD$15</c:f>
              <c:numCache>
                <c:formatCode>0%</c:formatCode>
                <c:ptCount val="7"/>
                <c:pt idx="0">
                  <c:v>0.21659215101838053</c:v>
                </c:pt>
                <c:pt idx="1">
                  <c:v>0.41182314952806753</c:v>
                </c:pt>
                <c:pt idx="2">
                  <c:v>0.10531544957774466</c:v>
                </c:pt>
                <c:pt idx="3">
                  <c:v>4.9677098857426726E-3</c:v>
                </c:pt>
                <c:pt idx="4">
                  <c:v>0.20069547938400398</c:v>
                </c:pt>
                <c:pt idx="5">
                  <c:v>2.4838549428713365E-2</c:v>
                </c:pt>
                <c:pt idx="6">
                  <c:v>3.5767511177347243E-2</c:v>
                </c:pt>
              </c:numCache>
            </c:numRef>
          </c:val>
        </c:ser>
        <c:dLbls>
          <c:showLegendKey val="0"/>
          <c:showVal val="0"/>
          <c:showCatName val="0"/>
          <c:showSerName val="0"/>
          <c:showPercent val="0"/>
          <c:showBubbleSize val="0"/>
        </c:dLbls>
        <c:gapWidth val="130"/>
        <c:axId val="140727040"/>
        <c:axId val="140728576"/>
      </c:barChart>
      <c:catAx>
        <c:axId val="140727040"/>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728576"/>
        <c:crosses val="autoZero"/>
        <c:auto val="1"/>
        <c:lblAlgn val="ctr"/>
        <c:lblOffset val="100"/>
        <c:tickLblSkip val="1"/>
        <c:tickMarkSkip val="1"/>
        <c:noMultiLvlLbl val="0"/>
      </c:catAx>
      <c:valAx>
        <c:axId val="140728576"/>
        <c:scaling>
          <c:orientation val="minMax"/>
        </c:scaling>
        <c:delete val="0"/>
        <c:axPos val="l"/>
        <c:numFmt formatCode="0%"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727040"/>
        <c:crosses val="autoZero"/>
        <c:crossBetween val="between"/>
      </c:valAx>
    </c:plotArea>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600" b="1" i="0" u="none" strike="noStrike" baseline="0">
                <a:solidFill>
                  <a:srgbClr val="000000"/>
                </a:solidFill>
                <a:latin typeface="Calibri"/>
                <a:ea typeface="Calibri"/>
                <a:cs typeface="Calibri"/>
              </a:defRPr>
            </a:pPr>
            <a:r>
              <a:rPr lang="ru-RU" sz="1600"/>
              <a:t>Частка інституту заочної форми навчання від загальної кількості студентів КПУ</a:t>
            </a:r>
          </a:p>
        </c:rich>
      </c:tx>
      <c:layout>
        <c:manualLayout>
          <c:xMode val="edge"/>
          <c:yMode val="edge"/>
          <c:x val="0.14936712556948079"/>
          <c:y val="1.6393564187376208E-2"/>
        </c:manualLayout>
      </c:layout>
      <c:overlay val="0"/>
    </c:title>
    <c:autoTitleDeleted val="0"/>
    <c:plotArea>
      <c:layout>
        <c:manualLayout>
          <c:layoutTarget val="inner"/>
          <c:xMode val="edge"/>
          <c:yMode val="edge"/>
          <c:x val="7.5601164445604663E-2"/>
          <c:y val="0.19660367218641622"/>
          <c:w val="0.85822837855294365"/>
          <c:h val="0.57663083568535256"/>
        </c:manualLayout>
      </c:layout>
      <c:barChart>
        <c:barDir val="col"/>
        <c:grouping val="clustered"/>
        <c:varyColors val="0"/>
        <c:ser>
          <c:idx val="0"/>
          <c:order val="0"/>
          <c:spPr>
            <a:solidFill>
              <a:schemeClr val="accent1"/>
            </a:solidFill>
          </c:spPr>
          <c:invertIfNegative val="0"/>
          <c:dLbls>
            <c:spPr>
              <a:noFill/>
              <a:ln w="25400">
                <a:noFill/>
              </a:ln>
            </c:spPr>
            <c:txPr>
              <a:bodyPr/>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курси'!$B$24:$B$30</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курси'!$AD$24:$AD$30</c:f>
              <c:numCache>
                <c:formatCode>0%</c:formatCode>
                <c:ptCount val="7"/>
                <c:pt idx="0">
                  <c:v>0.25515743756786102</c:v>
                </c:pt>
                <c:pt idx="1">
                  <c:v>0.24864277958740499</c:v>
                </c:pt>
                <c:pt idx="2">
                  <c:v>0.31813246471226925</c:v>
                </c:pt>
                <c:pt idx="3">
                  <c:v>1.4115092290988056E-2</c:v>
                </c:pt>
                <c:pt idx="4">
                  <c:v>0.14115092290988057</c:v>
                </c:pt>
                <c:pt idx="5">
                  <c:v>1.8458197611292075E-2</c:v>
                </c:pt>
                <c:pt idx="6">
                  <c:v>4.3431053203040176E-3</c:v>
                </c:pt>
              </c:numCache>
            </c:numRef>
          </c:val>
        </c:ser>
        <c:dLbls>
          <c:showLegendKey val="0"/>
          <c:showVal val="0"/>
          <c:showCatName val="0"/>
          <c:showSerName val="0"/>
          <c:showPercent val="0"/>
          <c:showBubbleSize val="0"/>
        </c:dLbls>
        <c:gapWidth val="130"/>
        <c:axId val="140736768"/>
        <c:axId val="140738560"/>
      </c:barChart>
      <c:catAx>
        <c:axId val="140736768"/>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738560"/>
        <c:crosses val="autoZero"/>
        <c:auto val="0"/>
        <c:lblAlgn val="ctr"/>
        <c:lblOffset val="100"/>
        <c:tickLblSkip val="1"/>
        <c:tickMarkSkip val="1"/>
        <c:noMultiLvlLbl val="0"/>
      </c:catAx>
      <c:valAx>
        <c:axId val="140738560"/>
        <c:scaling>
          <c:orientation val="minMax"/>
        </c:scaling>
        <c:delete val="0"/>
        <c:axPos val="l"/>
        <c:numFmt formatCode="0%"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0736768"/>
        <c:crosses val="autoZero"/>
        <c:crossBetween val="between"/>
      </c:valAx>
    </c:plotArea>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ru-RU" sz="1600"/>
              <a:t>Абсолютна успішність 
(денна, заочна форми)</a:t>
            </a:r>
          </a:p>
        </c:rich>
      </c:tx>
      <c:layout>
        <c:manualLayout>
          <c:xMode val="edge"/>
          <c:yMode val="edge"/>
          <c:x val="0.34398977759359028"/>
          <c:y val="3.9062538648637506E-2"/>
        </c:manualLayout>
      </c:layout>
      <c:overlay val="0"/>
    </c:title>
    <c:autoTitleDeleted val="0"/>
    <c:plotArea>
      <c:layout>
        <c:manualLayout>
          <c:layoutTarget val="inner"/>
          <c:xMode val="edge"/>
          <c:yMode val="edge"/>
          <c:x val="5.4987212276214836E-2"/>
          <c:y val="0.49218875170072351"/>
          <c:w val="0.90792838874680304"/>
          <c:h val="0.41666772630749083"/>
        </c:manualLayout>
      </c:layout>
      <c:barChart>
        <c:barDir val="col"/>
        <c:grouping val="clustered"/>
        <c:varyColors val="0"/>
        <c:ser>
          <c:idx val="0"/>
          <c:order val="0"/>
          <c:tx>
            <c:v>Денне</c:v>
          </c:tx>
          <c:spPr>
            <a:solidFill>
              <a:srgbClr val="92D050"/>
            </a:solidFill>
          </c:spPr>
          <c:invertIfNegative val="0"/>
          <c:dLbls>
            <c:dLbl>
              <c:idx val="0"/>
              <c:layout>
                <c:manualLayout>
                  <c:x val="-8.7986769988020706E-3"/>
                  <c:y val="5.6454070882127902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2.4961541792780499E-3"/>
                  <c:y val="3.9074272800127523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2"/>
              <c:layout>
                <c:manualLayout>
                  <c:x val="-4.0489461754831379E-3"/>
                  <c:y val="-7.7772898370666787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1.1904326778946178E-2"/>
                  <c:y val="-3.5297015676867285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4.4144388402096888E-3"/>
                  <c:y val="-2.0464189563591136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4.5970511985939265E-3"/>
                  <c:y val="-2.5984485782947691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3.3529198310927111E-4"/>
                  <c:y val="1.3055011369359102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7"/>
              <c:layout>
                <c:manualLayout>
                  <c:xMode val="edge"/>
                  <c:yMode val="edge"/>
                  <c:x val="0.5626598465473146"/>
                  <c:y val="0.45312615235939624"/>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8"/>
              <c:layout>
                <c:manualLayout>
                  <c:xMode val="edge"/>
                  <c:yMode val="edge"/>
                  <c:x val="0.62148337595907932"/>
                  <c:y val="0.27864654196813449"/>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9"/>
              <c:layout>
                <c:manualLayout>
                  <c:xMode val="edge"/>
                  <c:yMode val="edge"/>
                  <c:x val="0.6867007672634271"/>
                  <c:y val="0.5911473366987526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курси'!$B$9:$B$15</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курси'!$Q$9:$Q$15</c:f>
              <c:numCache>
                <c:formatCode>0.0%</c:formatCode>
                <c:ptCount val="7"/>
                <c:pt idx="0">
                  <c:v>0.99543639475185397</c:v>
                </c:pt>
                <c:pt idx="1">
                  <c:v>0.92550407880560259</c:v>
                </c:pt>
                <c:pt idx="2">
                  <c:v>0.98301763553233179</c:v>
                </c:pt>
                <c:pt idx="3">
                  <c:v>1</c:v>
                </c:pt>
                <c:pt idx="4">
                  <c:v>0.99489307373124802</c:v>
                </c:pt>
                <c:pt idx="5">
                  <c:v>1</c:v>
                </c:pt>
                <c:pt idx="6">
                  <c:v>1</c:v>
                </c:pt>
              </c:numCache>
            </c:numRef>
          </c:val>
        </c:ser>
        <c:ser>
          <c:idx val="1"/>
          <c:order val="1"/>
          <c:tx>
            <c:v>Заочне</c:v>
          </c:tx>
          <c:spPr>
            <a:solidFill>
              <a:schemeClr val="tx2">
                <a:lumMod val="60000"/>
                <a:lumOff val="40000"/>
              </a:schemeClr>
            </a:solidFill>
          </c:spPr>
          <c:invertIfNegative val="0"/>
          <c:dLbls>
            <c:dLbl>
              <c:idx val="0"/>
              <c:layout>
                <c:manualLayout>
                  <c:x val="3.3630830080543296E-3"/>
                  <c:y val="-3.2907301602073231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1.9804511570386187E-2"/>
                  <c:y val="6.3786892743269395E-3"/>
                </c:manualLayout>
              </c:layout>
              <c:tx>
                <c:rich>
                  <a:bodyPr rot="-5400000" vert="horz"/>
                  <a:lstStyle/>
                  <a:p>
                    <a:pPr>
                      <a:defRPr sz="1200" b="0" i="0" u="none" strike="noStrike" baseline="0">
                        <a:solidFill>
                          <a:srgbClr val="000000"/>
                        </a:solidFill>
                        <a:latin typeface="Calibri"/>
                        <a:ea typeface="Calibri"/>
                        <a:cs typeface="Calibri"/>
                      </a:defRPr>
                    </a:pPr>
                    <a:r>
                      <a:rPr lang="en-US"/>
                      <a:t>87,</a:t>
                    </a:r>
                    <a:r>
                      <a:rPr lang="ru-RU"/>
                      <a:t>5</a:t>
                    </a:r>
                    <a:r>
                      <a:rPr lang="en-US"/>
                      <a:t>%</a:t>
                    </a:r>
                  </a:p>
                </c:rich>
              </c:tx>
              <c:spPr/>
              <c:dLblPos val="outEnd"/>
              <c:showLegendKey val="0"/>
              <c:showVal val="1"/>
              <c:showCatName val="0"/>
              <c:showSerName val="0"/>
              <c:showPercent val="0"/>
              <c:showBubbleSize val="0"/>
            </c:dLbl>
            <c:dLbl>
              <c:idx val="2"/>
              <c:layout>
                <c:manualLayout>
                  <c:x val="5.5552690743400253E-3"/>
                  <c:y val="-6.3326768858487153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4.0937503634601042E-3"/>
                  <c:y val="-2.2711536896551893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1.1675179535479753E-2"/>
                  <c:y val="-1.1717612456518202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3.7283916727125911E-3"/>
                  <c:y val="-7.2789256508121953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9.8823455729506139E-4"/>
                  <c:y val="-1.6082287186146992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7"/>
              <c:layout>
                <c:manualLayout>
                  <c:xMode val="edge"/>
                  <c:yMode val="edge"/>
                  <c:x val="0.58951406649616367"/>
                  <c:y val="0.4661470188065053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8"/>
              <c:layout>
                <c:manualLayout>
                  <c:xMode val="edge"/>
                  <c:yMode val="edge"/>
                  <c:x val="0.65089514066496168"/>
                  <c:y val="0.34114670091425808"/>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9"/>
              <c:layout>
                <c:manualLayout>
                  <c:xMode val="edge"/>
                  <c:yMode val="edge"/>
                  <c:x val="0.71611253196930946"/>
                  <c:y val="0.47395953867477081"/>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val>
            <c:numRef>
              <c:f>'всі курси'!$Q$24:$Q$30</c:f>
              <c:numCache>
                <c:formatCode>0.0%</c:formatCode>
                <c:ptCount val="7"/>
                <c:pt idx="0">
                  <c:v>0.99835975943138322</c:v>
                </c:pt>
                <c:pt idx="1">
                  <c:v>0.87818041634541244</c:v>
                </c:pt>
                <c:pt idx="2">
                  <c:v>0.9961472602739726</c:v>
                </c:pt>
                <c:pt idx="3">
                  <c:v>1</c:v>
                </c:pt>
                <c:pt idx="4">
                  <c:v>1</c:v>
                </c:pt>
                <c:pt idx="5">
                  <c:v>1</c:v>
                </c:pt>
                <c:pt idx="6">
                  <c:v>1</c:v>
                </c:pt>
              </c:numCache>
            </c:numRef>
          </c:val>
        </c:ser>
        <c:dLbls>
          <c:showLegendKey val="0"/>
          <c:showVal val="0"/>
          <c:showCatName val="0"/>
          <c:showSerName val="0"/>
          <c:showPercent val="0"/>
          <c:showBubbleSize val="0"/>
        </c:dLbls>
        <c:gapWidth val="105"/>
        <c:axId val="142980224"/>
        <c:axId val="142981760"/>
      </c:barChart>
      <c:catAx>
        <c:axId val="142980224"/>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2981760"/>
        <c:crosses val="autoZero"/>
        <c:auto val="1"/>
        <c:lblAlgn val="ctr"/>
        <c:lblOffset val="100"/>
        <c:tickLblSkip val="1"/>
        <c:tickMarkSkip val="1"/>
        <c:noMultiLvlLbl val="0"/>
      </c:catAx>
      <c:valAx>
        <c:axId val="142981760"/>
        <c:scaling>
          <c:orientation val="minMax"/>
          <c:max val="1"/>
        </c:scaling>
        <c:delete val="0"/>
        <c:axPos val="l"/>
        <c:numFmt formatCode="0%" sourceLinked="0"/>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42980224"/>
        <c:crosses val="autoZero"/>
        <c:crossBetween val="between"/>
        <c:majorUnit val="0.2"/>
      </c:valAx>
    </c:plotArea>
    <c:legend>
      <c:legendPos val="r"/>
      <c:layout>
        <c:manualLayout>
          <c:xMode val="edge"/>
          <c:yMode val="edge"/>
          <c:x val="0.74605304600082889"/>
          <c:y val="1.3089005235602094E-2"/>
          <c:w val="0.15263171708799561"/>
          <c:h val="0.15183273556773991"/>
        </c:manualLayout>
      </c:layout>
      <c:overlay val="0"/>
      <c:txPr>
        <a:bodyPr/>
        <a:lstStyle/>
        <a:p>
          <a:pPr>
            <a:defRPr sz="1140" b="0" i="0" u="none" strike="noStrike" baseline="0">
              <a:solidFill>
                <a:srgbClr val="000000"/>
              </a:solidFill>
              <a:latin typeface="Calibri"/>
              <a:ea typeface="Calibri"/>
              <a:cs typeface="Calibri"/>
            </a:defRPr>
          </a:pPr>
          <a:endParaRPr lang="uk-UA"/>
        </a:p>
      </c:txPr>
    </c:legend>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ru-RU" sz="1600"/>
              <a:t>Показник якості  
(денна, заочна форми)</a:t>
            </a:r>
          </a:p>
        </c:rich>
      </c:tx>
      <c:layout>
        <c:manualLayout>
          <c:xMode val="edge"/>
          <c:yMode val="edge"/>
          <c:x val="0.37917765456832686"/>
          <c:y val="1.3661344818085584E-2"/>
        </c:manualLayout>
      </c:layout>
      <c:overlay val="0"/>
    </c:title>
    <c:autoTitleDeleted val="0"/>
    <c:plotArea>
      <c:layout>
        <c:manualLayout>
          <c:layoutTarget val="inner"/>
          <c:xMode val="edge"/>
          <c:yMode val="edge"/>
          <c:x val="0.11696665438640644"/>
          <c:y val="0.36338894773775759"/>
          <c:w val="0.82519331995684542"/>
          <c:h val="0.52185931592414814"/>
        </c:manualLayout>
      </c:layout>
      <c:barChart>
        <c:barDir val="col"/>
        <c:grouping val="clustered"/>
        <c:varyColors val="0"/>
        <c:ser>
          <c:idx val="0"/>
          <c:order val="0"/>
          <c:tx>
            <c:v>Денне</c:v>
          </c:tx>
          <c:spPr>
            <a:solidFill>
              <a:srgbClr val="92D050"/>
            </a:solidFill>
          </c:spPr>
          <c:invertIfNegative val="0"/>
          <c:dLbls>
            <c:dLbl>
              <c:idx val="0"/>
              <c:layout>
                <c:manualLayout>
                  <c:x val="-5.2731459105991437E-3"/>
                  <c:y val="-7.3400492316215114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1.2335934306263888E-3"/>
                  <c:y val="-1.8068080731835946E-2"/>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2"/>
              <c:layout>
                <c:manualLayout>
                  <c:x val="2.3539800989178308E-4"/>
                  <c:y val="4.3888431992983225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2.9897373008100311E-3"/>
                  <c:y val="3.2637985082113311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6.8266266027204527E-4"/>
                  <c:y val="-7.53785341541428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3.0697147709541012E-3"/>
                  <c:y val="-6.1473154360482535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2.2553202207642987E-3"/>
                  <c:y val="-1.1678166052018622E-2"/>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7"/>
              <c:layout>
                <c:manualLayout>
                  <c:xMode val="edge"/>
                  <c:yMode val="edge"/>
                  <c:x val="0.54241679286882982"/>
                  <c:y val="0.45628537046771067"/>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8"/>
              <c:layout>
                <c:manualLayout>
                  <c:xMode val="edge"/>
                  <c:yMode val="edge"/>
                  <c:x val="0.59897209828643294"/>
                  <c:y val="0.45082087501300755"/>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9"/>
              <c:layout>
                <c:manualLayout>
                  <c:xMode val="edge"/>
                  <c:yMode val="edge"/>
                  <c:x val="0.69665853491683838"/>
                  <c:y val="0.57377202274382777"/>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numFmt formatCode="0%" sourceLinked="0"/>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курси'!$B$9:$B$15</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курси'!$P$9:$P$15</c:f>
              <c:numCache>
                <c:formatCode>0.0%</c:formatCode>
                <c:ptCount val="7"/>
                <c:pt idx="0">
                  <c:v>0.80405019965772961</c:v>
                </c:pt>
                <c:pt idx="1">
                  <c:v>0.51377558873326146</c:v>
                </c:pt>
                <c:pt idx="2">
                  <c:v>0.88373612018288705</c:v>
                </c:pt>
                <c:pt idx="3">
                  <c:v>0.88135593220338981</c:v>
                </c:pt>
                <c:pt idx="4">
                  <c:v>0.73220555378231722</c:v>
                </c:pt>
                <c:pt idx="5">
                  <c:v>0.66891891891891897</c:v>
                </c:pt>
                <c:pt idx="6">
                  <c:v>0.76556776556776551</c:v>
                </c:pt>
              </c:numCache>
            </c:numRef>
          </c:val>
        </c:ser>
        <c:ser>
          <c:idx val="1"/>
          <c:order val="1"/>
          <c:tx>
            <c:v>Заочне</c:v>
          </c:tx>
          <c:spPr>
            <a:solidFill>
              <a:schemeClr val="tx2">
                <a:lumMod val="60000"/>
                <a:lumOff val="40000"/>
              </a:schemeClr>
            </a:solidFill>
          </c:spPr>
          <c:invertIfNegative val="0"/>
          <c:dLbls>
            <c:dLbl>
              <c:idx val="0"/>
              <c:layout>
                <c:manualLayout>
                  <c:x val="5.383093271830763E-3"/>
                  <c:y val="-7.1690695228630984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6.8520847123489355E-3"/>
                  <c:y val="9.3064420863425493E-3"/>
                </c:manualLayout>
              </c:layout>
              <c:tx>
                <c:rich>
                  <a:bodyPr rot="-5400000" vert="horz"/>
                  <a:lstStyle/>
                  <a:p>
                    <a:pPr>
                      <a:defRPr sz="1200" b="0" i="0" u="none" strike="noStrike" baseline="0">
                        <a:solidFill>
                          <a:srgbClr val="000000"/>
                        </a:solidFill>
                        <a:latin typeface="Calibri"/>
                        <a:ea typeface="Calibri"/>
                        <a:cs typeface="Calibri"/>
                      </a:defRPr>
                    </a:pPr>
                    <a:r>
                      <a:rPr lang="en-US"/>
                      <a:t>6</a:t>
                    </a:r>
                    <a:r>
                      <a:rPr lang="ru-RU"/>
                      <a:t>8</a:t>
                    </a:r>
                    <a:r>
                      <a:rPr lang="en-US"/>
                      <a:t>%</a:t>
                    </a:r>
                  </a:p>
                </c:rich>
              </c:tx>
              <c:numFmt formatCode="0%" sourceLinked="0"/>
              <c:spPr/>
              <c:dLblPos val="outEnd"/>
              <c:showLegendKey val="0"/>
              <c:showVal val="1"/>
              <c:showCatName val="0"/>
              <c:showSerName val="0"/>
              <c:showPercent val="0"/>
              <c:showBubbleSize val="0"/>
            </c:dLbl>
            <c:dLbl>
              <c:idx val="2"/>
              <c:layout>
                <c:manualLayout>
                  <c:x val="3.1796847512668589E-3"/>
                  <c:y val="2.0607032820689577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7.219371892585238E-3"/>
                  <c:y val="-2.7070236268137773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7.4030154827033345E-3"/>
                  <c:y val="1.0409265415686486E-2"/>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1.4107758799790458E-3"/>
                  <c:y val="-8.4664899538108487E-3"/>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1.5482389765339982E-2"/>
                  <c:y val="-1.7770269567067423E-2"/>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7"/>
              <c:layout>
                <c:manualLayout>
                  <c:xMode val="edge"/>
                  <c:yMode val="edge"/>
                  <c:x val="0.59897209828643294"/>
                  <c:y val="0.47541110455917157"/>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8"/>
              <c:layout>
                <c:manualLayout>
                  <c:xMode val="edge"/>
                  <c:yMode val="edge"/>
                  <c:x val="0.66709553435763669"/>
                  <c:y val="0.39344367273862474"/>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9"/>
              <c:layout>
                <c:manualLayout>
                  <c:xMode val="edge"/>
                  <c:yMode val="edge"/>
                  <c:x val="0.72365083977523981"/>
                  <c:y val="0.51366257274209337"/>
                </c:manualLayout>
              </c:layout>
              <c:numFmt formatCode="0%" sourceLinked="0"/>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numFmt formatCode="0%" sourceLinked="0"/>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val>
            <c:numRef>
              <c:f>'всі курси'!$P$24:$P$30</c:f>
              <c:numCache>
                <c:formatCode>0.0%</c:formatCode>
                <c:ptCount val="7"/>
                <c:pt idx="0">
                  <c:v>0.86714051394204483</c:v>
                </c:pt>
                <c:pt idx="1">
                  <c:v>0.61680801850424061</c:v>
                </c:pt>
                <c:pt idx="2">
                  <c:v>0.94178082191780821</c:v>
                </c:pt>
                <c:pt idx="3">
                  <c:v>0.970873786407767</c:v>
                </c:pt>
                <c:pt idx="4">
                  <c:v>0.94631483166515018</c:v>
                </c:pt>
                <c:pt idx="5">
                  <c:v>0.88321167883211682</c:v>
                </c:pt>
                <c:pt idx="6">
                  <c:v>0.78125</c:v>
                </c:pt>
              </c:numCache>
            </c:numRef>
          </c:val>
        </c:ser>
        <c:dLbls>
          <c:showLegendKey val="0"/>
          <c:showVal val="0"/>
          <c:showCatName val="0"/>
          <c:showSerName val="0"/>
          <c:showPercent val="0"/>
          <c:showBubbleSize val="0"/>
        </c:dLbls>
        <c:gapWidth val="90"/>
        <c:axId val="151384448"/>
        <c:axId val="151385984"/>
      </c:barChart>
      <c:catAx>
        <c:axId val="151384448"/>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1385984"/>
        <c:crosses val="autoZero"/>
        <c:auto val="1"/>
        <c:lblAlgn val="ctr"/>
        <c:lblOffset val="100"/>
        <c:tickLblSkip val="1"/>
        <c:tickMarkSkip val="1"/>
        <c:noMultiLvlLbl val="0"/>
      </c:catAx>
      <c:valAx>
        <c:axId val="151385984"/>
        <c:scaling>
          <c:orientation val="minMax"/>
          <c:max val="1"/>
          <c:min val="0.5"/>
        </c:scaling>
        <c:delete val="0"/>
        <c:axPos val="l"/>
        <c:numFmt formatCode="0%" sourceLinked="0"/>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1384448"/>
        <c:crosses val="autoZero"/>
        <c:crossBetween val="between"/>
        <c:majorUnit val="0.5"/>
      </c:valAx>
    </c:plotArea>
    <c:legend>
      <c:legendPos val="r"/>
      <c:layout>
        <c:manualLayout>
          <c:xMode val="edge"/>
          <c:yMode val="edge"/>
          <c:x val="0.72408082125828943"/>
          <c:y val="5.2486187845303865E-2"/>
          <c:w val="0.21404696454363326"/>
          <c:h val="0.143646408839779"/>
        </c:manualLayout>
      </c:layout>
      <c:overlay val="0"/>
      <c:txPr>
        <a:bodyPr/>
        <a:lstStyle/>
        <a:p>
          <a:pPr>
            <a:defRPr sz="1140" b="0" i="0" u="none" strike="noStrike" baseline="0">
              <a:solidFill>
                <a:srgbClr val="000000"/>
              </a:solidFill>
              <a:latin typeface="Calibri"/>
              <a:ea typeface="Calibri"/>
              <a:cs typeface="Calibri"/>
            </a:defRPr>
          </a:pPr>
          <a:endParaRPr lang="uk-UA"/>
        </a:p>
      </c:txPr>
    </c:legend>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ru-RU" sz="1600"/>
              <a:t>Частка відмінників
 (денна, заочна форми)</a:t>
            </a:r>
          </a:p>
        </c:rich>
      </c:tx>
      <c:layout>
        <c:manualLayout>
          <c:xMode val="edge"/>
          <c:yMode val="edge"/>
          <c:x val="0.35538292273255595"/>
          <c:y val="3.1161741145993117E-2"/>
        </c:manualLayout>
      </c:layout>
      <c:overlay val="0"/>
    </c:title>
    <c:autoTitleDeleted val="0"/>
    <c:plotArea>
      <c:layout>
        <c:manualLayout>
          <c:layoutTarget val="inner"/>
          <c:xMode val="edge"/>
          <c:yMode val="edge"/>
          <c:x val="6.2256888194218388E-2"/>
          <c:y val="0.3133159268929504"/>
          <c:w val="0.8949427677918893"/>
          <c:h val="0.53524804177545693"/>
        </c:manualLayout>
      </c:layout>
      <c:barChart>
        <c:barDir val="col"/>
        <c:grouping val="clustered"/>
        <c:varyColors val="0"/>
        <c:ser>
          <c:idx val="0"/>
          <c:order val="0"/>
          <c:tx>
            <c:v>Денне</c:v>
          </c:tx>
          <c:spPr>
            <a:solidFill>
              <a:srgbClr val="92D050"/>
            </a:solidFill>
          </c:spPr>
          <c:invertIfNegative val="0"/>
          <c:dLbls>
            <c:dLbl>
              <c:idx val="0"/>
              <c:layout>
                <c:manualLayout>
                  <c:x val="6.446274731870409E-3"/>
                  <c:y val="-1.4428314048904463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1.1634344249099839E-2"/>
                  <c:y val="-1.4471091133145335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2"/>
              <c:layout>
                <c:manualLayout>
                  <c:x val="9.0403027420519859E-3"/>
                  <c:y val="-2.8725391938101082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1.1634335251188951E-2"/>
                  <c:y val="-1.2132658102703423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6.3537092417518086E-3"/>
                  <c:y val="-1.7687203478777769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7.650723246842542E-3"/>
                  <c:y val="-1.430500890915053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9.0402847462301532E-3"/>
                  <c:y val="-1.4553707063846635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8"/>
              <c:layout>
                <c:manualLayout>
                  <c:xMode val="edge"/>
                  <c:yMode val="edge"/>
                  <c:x val="0.62256888194218385"/>
                  <c:y val="0.5212464589235127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курси'!$B$9:$B$15</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курси'!$G$9:$G$15</c:f>
              <c:numCache>
                <c:formatCode>0%</c:formatCode>
                <c:ptCount val="7"/>
                <c:pt idx="0">
                  <c:v>3.2110091743119268E-2</c:v>
                </c:pt>
                <c:pt idx="1">
                  <c:v>2.7744270205066344E-2</c:v>
                </c:pt>
                <c:pt idx="2">
                  <c:v>8.0188679245283015E-2</c:v>
                </c:pt>
                <c:pt idx="3">
                  <c:v>0</c:v>
                </c:pt>
                <c:pt idx="4">
                  <c:v>3.4653465346534656E-2</c:v>
                </c:pt>
                <c:pt idx="5">
                  <c:v>0</c:v>
                </c:pt>
                <c:pt idx="6">
                  <c:v>0</c:v>
                </c:pt>
              </c:numCache>
            </c:numRef>
          </c:val>
        </c:ser>
        <c:ser>
          <c:idx val="1"/>
          <c:order val="1"/>
          <c:tx>
            <c:v>Заочне</c:v>
          </c:tx>
          <c:spPr>
            <a:solidFill>
              <a:schemeClr val="tx2">
                <a:lumMod val="60000"/>
                <a:lumOff val="40000"/>
              </a:schemeClr>
            </a:solidFill>
          </c:spPr>
          <c:invertIfNegative val="0"/>
          <c:dPt>
            <c:idx val="0"/>
            <c:invertIfNegative val="0"/>
            <c:bubble3D val="0"/>
          </c:dPt>
          <c:dPt>
            <c:idx val="3"/>
            <c:invertIfNegative val="0"/>
            <c:bubble3D val="0"/>
          </c:dPt>
          <c:dLbls>
            <c:dLbl>
              <c:idx val="0"/>
              <c:layout>
                <c:manualLayout>
                  <c:x val="1.1105962331540932E-2"/>
                  <c:y val="-1.3405616717564487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dLbl>
            <c:dLbl>
              <c:idx val="2"/>
              <c:layout>
                <c:manualLayout>
                  <c:x val="1.3699990341722481E-2"/>
                  <c:y val="6.0537688967447394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1.1105948834674572E-2"/>
                  <c:y val="-1.3800226837426308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1.1013396841422248E-2"/>
                  <c:y val="-1.4628244977241422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1.1105939836763683E-2"/>
                  <c:y val="-1.4840064743787454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5.8253138273265418E-3"/>
                  <c:y val="-1.3112976610071866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7"/>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8"/>
              <c:layout>
                <c:manualLayout>
                  <c:xMode val="edge"/>
                  <c:yMode val="edge"/>
                  <c:x val="0.65629136304738556"/>
                  <c:y val="0.72521246458923516"/>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9"/>
              <c:layout>
                <c:manualLayout>
                  <c:xMode val="edge"/>
                  <c:yMode val="edge"/>
                  <c:x val="0.71984526974565011"/>
                  <c:y val="0.7932011331444759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val>
            <c:numRef>
              <c:f>'всі курси'!$G$24:$G$30</c:f>
              <c:numCache>
                <c:formatCode>0%</c:formatCode>
                <c:ptCount val="7"/>
                <c:pt idx="0">
                  <c:v>4.2553191489361701E-2</c:v>
                </c:pt>
                <c:pt idx="1">
                  <c:v>8.296943231441048E-2</c:v>
                </c:pt>
                <c:pt idx="2">
                  <c:v>0.19112627986348124</c:v>
                </c:pt>
                <c:pt idx="3">
                  <c:v>0</c:v>
                </c:pt>
                <c:pt idx="4">
                  <c:v>0.14615384615384616</c:v>
                </c:pt>
                <c:pt idx="5">
                  <c:v>0</c:v>
                </c:pt>
                <c:pt idx="6">
                  <c:v>0</c:v>
                </c:pt>
              </c:numCache>
            </c:numRef>
          </c:val>
        </c:ser>
        <c:dLbls>
          <c:showLegendKey val="0"/>
          <c:showVal val="0"/>
          <c:showCatName val="0"/>
          <c:showSerName val="0"/>
          <c:showPercent val="0"/>
          <c:showBubbleSize val="0"/>
        </c:dLbls>
        <c:gapWidth val="70"/>
        <c:axId val="151554688"/>
        <c:axId val="154145152"/>
      </c:barChart>
      <c:catAx>
        <c:axId val="151554688"/>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4145152"/>
        <c:crosses val="autoZero"/>
        <c:auto val="1"/>
        <c:lblAlgn val="ctr"/>
        <c:lblOffset val="100"/>
        <c:tickLblSkip val="1"/>
        <c:tickMarkSkip val="1"/>
        <c:noMultiLvlLbl val="0"/>
      </c:catAx>
      <c:valAx>
        <c:axId val="154145152"/>
        <c:scaling>
          <c:orientation val="minMax"/>
          <c:max val="0.5"/>
          <c:min val="0"/>
        </c:scaling>
        <c:delete val="0"/>
        <c:axPos val="l"/>
        <c:numFmt formatCode="0%"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1554688"/>
        <c:crosses val="autoZero"/>
        <c:crossBetween val="between"/>
        <c:majorUnit val="0.1"/>
      </c:valAx>
    </c:plotArea>
    <c:legend>
      <c:legendPos val="r"/>
      <c:legendEntry>
        <c:idx val="0"/>
        <c:txPr>
          <a:bodyPr/>
          <a:lstStyle/>
          <a:p>
            <a:pPr>
              <a:defRPr sz="1140" b="0" i="0" u="none" strike="noStrike" baseline="0">
                <a:solidFill>
                  <a:srgbClr val="000000"/>
                </a:solidFill>
                <a:latin typeface="Calibri"/>
                <a:ea typeface="Calibri"/>
                <a:cs typeface="Calibri"/>
              </a:defRPr>
            </a:pPr>
            <a:endParaRPr lang="uk-UA"/>
          </a:p>
        </c:txPr>
      </c:legendEntry>
      <c:legendEntry>
        <c:idx val="1"/>
        <c:txPr>
          <a:bodyPr/>
          <a:lstStyle/>
          <a:p>
            <a:pPr>
              <a:defRPr sz="1140" b="0" i="0" u="none" strike="noStrike" baseline="0">
                <a:solidFill>
                  <a:srgbClr val="000000"/>
                </a:solidFill>
                <a:latin typeface="Calibri"/>
                <a:ea typeface="Calibri"/>
                <a:cs typeface="Calibri"/>
              </a:defRPr>
            </a:pPr>
            <a:endParaRPr lang="uk-UA"/>
          </a:p>
        </c:txPr>
      </c:legendEntry>
      <c:layout>
        <c:manualLayout>
          <c:xMode val="edge"/>
          <c:yMode val="edge"/>
          <c:x val="0.73324572930354792"/>
          <c:y val="1.2987012987012988E-2"/>
          <c:w val="0.1800262812089356"/>
          <c:h val="0.17142884412175749"/>
        </c:manualLayout>
      </c:layout>
      <c:overlay val="0"/>
      <c:txPr>
        <a:bodyPr/>
        <a:lstStyle/>
        <a:p>
          <a:pPr>
            <a:defRPr sz="1140" b="0" i="0" u="none" strike="noStrike" baseline="0">
              <a:solidFill>
                <a:srgbClr val="000000"/>
              </a:solidFill>
              <a:latin typeface="Calibri"/>
              <a:ea typeface="Calibri"/>
              <a:cs typeface="Calibri"/>
            </a:defRPr>
          </a:pPr>
          <a:endParaRPr lang="uk-UA"/>
        </a:p>
      </c:txPr>
    </c:legend>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ru-RU" sz="1600"/>
              <a:t>Частка проблемних студентів 
(денна, заочна форми)</a:t>
            </a:r>
          </a:p>
        </c:rich>
      </c:tx>
      <c:layout>
        <c:manualLayout>
          <c:xMode val="edge"/>
          <c:yMode val="edge"/>
          <c:x val="0.29473699933849734"/>
          <c:y val="5.3299492385786802E-2"/>
        </c:manualLayout>
      </c:layout>
      <c:overlay val="0"/>
    </c:title>
    <c:autoTitleDeleted val="0"/>
    <c:plotArea>
      <c:layout>
        <c:manualLayout>
          <c:layoutTarget val="inner"/>
          <c:xMode val="edge"/>
          <c:yMode val="edge"/>
          <c:x val="0.13947377381898504"/>
          <c:y val="0.35279231538546385"/>
          <c:w val="0.8013163042996404"/>
          <c:h val="0.45939143226452483"/>
        </c:manualLayout>
      </c:layout>
      <c:barChart>
        <c:barDir val="col"/>
        <c:grouping val="clustered"/>
        <c:varyColors val="0"/>
        <c:ser>
          <c:idx val="0"/>
          <c:order val="0"/>
          <c:tx>
            <c:v>Денне</c:v>
          </c:tx>
          <c:spPr>
            <a:solidFill>
              <a:srgbClr val="92D050"/>
            </a:solidFill>
          </c:spPr>
          <c:invertIfNegative val="0"/>
          <c:dPt>
            <c:idx val="0"/>
            <c:invertIfNegative val="0"/>
            <c:bubble3D val="0"/>
          </c:dPt>
          <c:dPt>
            <c:idx val="1"/>
            <c:invertIfNegative val="0"/>
            <c:bubble3D val="0"/>
          </c:dPt>
          <c:dPt>
            <c:idx val="2"/>
            <c:invertIfNegative val="0"/>
            <c:bubble3D val="0"/>
          </c:dPt>
          <c:dLbls>
            <c:dLbl>
              <c:idx val="0"/>
              <c:layout>
                <c:manualLayout>
                  <c:x val="3.95769003901956E-3"/>
                  <c:y val="-7.6595622052924211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2.7910373863684855E-3"/>
                  <c:y val="-2.0773740940933862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2"/>
              <c:layout>
                <c:manualLayout>
                  <c:x val="-9.2949485423957665E-4"/>
                  <c:y val="-3.960849634639995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7.4150666277507274E-4"/>
                  <c:y val="-3.6583006708758886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7.5292116344361235E-3"/>
                  <c:y val="-8.0392875173742433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1.0348780463994671E-2"/>
                  <c:y val="-7.6937969917806404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курси'!$B$24:$B$30</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курси'!$E$9:$E$15</c:f>
              <c:numCache>
                <c:formatCode>0%</c:formatCode>
                <c:ptCount val="7"/>
                <c:pt idx="0">
                  <c:v>0</c:v>
                </c:pt>
                <c:pt idx="1">
                  <c:v>0.22557297949336549</c:v>
                </c:pt>
                <c:pt idx="2">
                  <c:v>1.8867924528301886E-2</c:v>
                </c:pt>
                <c:pt idx="3">
                  <c:v>0</c:v>
                </c:pt>
                <c:pt idx="4">
                  <c:v>7.4257425742574254E-3</c:v>
                </c:pt>
                <c:pt idx="5">
                  <c:v>0</c:v>
                </c:pt>
                <c:pt idx="6">
                  <c:v>0</c:v>
                </c:pt>
              </c:numCache>
            </c:numRef>
          </c:val>
        </c:ser>
        <c:ser>
          <c:idx val="1"/>
          <c:order val="1"/>
          <c:tx>
            <c:v>Заочне</c:v>
          </c:tx>
          <c:spPr>
            <a:solidFill>
              <a:schemeClr val="tx2">
                <a:lumMod val="60000"/>
                <a:lumOff val="40000"/>
              </a:schemeClr>
            </a:solidFill>
          </c:spPr>
          <c:invertIfNegative val="0"/>
          <c:dLbls>
            <c:dLbl>
              <c:idx val="0"/>
              <c:layout>
                <c:manualLayout>
                  <c:x val="1.156689685864082E-2"/>
                  <c:y val="-7.3835046253210145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2.263910946794009E-2"/>
                  <c:y val="2.7554709853286497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2"/>
              <c:layout>
                <c:manualLayout>
                  <c:x val="9.6691944689343175E-3"/>
                  <c:y val="-1.648846143383827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1.2488625454651686E-2"/>
                  <c:y val="-1.1180181616755007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7.0556883483107466E-3"/>
                  <c:y val="-8.1990106079412491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1.0233021199486705E-2"/>
                  <c:y val="-2.6373079284805747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1.1736799709998203E-2"/>
                  <c:y val="1.0169427888431191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7"/>
              <c:layout>
                <c:manualLayout>
                  <c:xMode val="edge"/>
                  <c:yMode val="edge"/>
                  <c:x val="0.60921091771877423"/>
                  <c:y val="0.66243736917702201"/>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9"/>
              <c:layout>
                <c:manualLayout>
                  <c:xMode val="edge"/>
                  <c:yMode val="edge"/>
                  <c:x val="0.73684257866633596"/>
                  <c:y val="0.71827500182795867"/>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val>
            <c:numRef>
              <c:f>'всі курси'!$E$24:$E$30</c:f>
              <c:numCache>
                <c:formatCode>0%</c:formatCode>
                <c:ptCount val="7"/>
                <c:pt idx="0">
                  <c:v>8.5106382978723406E-3</c:v>
                </c:pt>
                <c:pt idx="1">
                  <c:v>0.22270742358078602</c:v>
                </c:pt>
                <c:pt idx="2">
                  <c:v>1.7064846416382253E-2</c:v>
                </c:pt>
                <c:pt idx="3">
                  <c:v>0</c:v>
                </c:pt>
                <c:pt idx="4">
                  <c:v>0</c:v>
                </c:pt>
                <c:pt idx="5">
                  <c:v>0</c:v>
                </c:pt>
                <c:pt idx="6">
                  <c:v>0</c:v>
                </c:pt>
              </c:numCache>
            </c:numRef>
          </c:val>
        </c:ser>
        <c:dLbls>
          <c:showLegendKey val="0"/>
          <c:showVal val="0"/>
          <c:showCatName val="0"/>
          <c:showSerName val="0"/>
          <c:showPercent val="0"/>
          <c:showBubbleSize val="0"/>
        </c:dLbls>
        <c:gapWidth val="60"/>
        <c:axId val="154186496"/>
        <c:axId val="154188032"/>
      </c:barChart>
      <c:catAx>
        <c:axId val="154186496"/>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4188032"/>
        <c:crosses val="autoZero"/>
        <c:auto val="1"/>
        <c:lblAlgn val="ctr"/>
        <c:lblOffset val="100"/>
        <c:tickLblSkip val="1"/>
        <c:tickMarkSkip val="1"/>
        <c:noMultiLvlLbl val="0"/>
      </c:catAx>
      <c:valAx>
        <c:axId val="154188032"/>
        <c:scaling>
          <c:orientation val="minMax"/>
          <c:max val="0.35"/>
          <c:min val="0"/>
        </c:scaling>
        <c:delete val="0"/>
        <c:axPos val="l"/>
        <c:numFmt formatCode="0%"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4186496"/>
        <c:crosses val="autoZero"/>
        <c:crossBetween val="between"/>
        <c:majorUnit val="0.1"/>
        <c:minorUnit val="0.05"/>
      </c:valAx>
    </c:plotArea>
    <c:legend>
      <c:legendPos val="r"/>
      <c:layout>
        <c:manualLayout>
          <c:xMode val="edge"/>
          <c:yMode val="edge"/>
          <c:x val="0.78861888198934482"/>
          <c:y val="3.8071065989847719E-2"/>
          <c:w val="0.15176165987381662"/>
          <c:h val="0.13705610402760568"/>
        </c:manualLayout>
      </c:layout>
      <c:overlay val="0"/>
      <c:txPr>
        <a:bodyPr/>
        <a:lstStyle/>
        <a:p>
          <a:pPr>
            <a:defRPr sz="1140" b="0" i="0" u="none" strike="noStrike" baseline="0">
              <a:solidFill>
                <a:srgbClr val="000000"/>
              </a:solidFill>
              <a:latin typeface="Calibri"/>
              <a:ea typeface="Calibri"/>
              <a:cs typeface="Calibri"/>
            </a:defRPr>
          </a:pPr>
          <a:endParaRPr lang="uk-UA"/>
        </a:p>
      </c:txPr>
    </c:legend>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baseline="0">
                <a:solidFill>
                  <a:srgbClr val="000000"/>
                </a:solidFill>
                <a:latin typeface="Calibri"/>
                <a:ea typeface="Calibri"/>
                <a:cs typeface="Calibri"/>
              </a:defRPr>
            </a:pPr>
            <a:r>
              <a:rPr lang="en-US" sz="1600" b="1" i="0" u="none" strike="noStrike" baseline="0">
                <a:solidFill>
                  <a:srgbClr val="000000"/>
                </a:solidFill>
                <a:latin typeface="Calibri"/>
                <a:cs typeface="Calibri"/>
              </a:rPr>
              <a:t>C</a:t>
            </a:r>
            <a:r>
              <a:rPr lang="ru-RU" sz="1600" b="1" i="0" u="none" strike="noStrike" baseline="0">
                <a:solidFill>
                  <a:srgbClr val="000000"/>
                </a:solidFill>
                <a:latin typeface="Calibri"/>
                <a:cs typeface="Calibri"/>
              </a:rPr>
              <a:t>ередній бал (денна, заочна форми)</a:t>
            </a:r>
          </a:p>
        </c:rich>
      </c:tx>
      <c:layout>
        <c:manualLayout>
          <c:xMode val="edge"/>
          <c:yMode val="edge"/>
          <c:x val="0.15950519925467332"/>
          <c:y val="6.0386680580590081E-2"/>
        </c:manualLayout>
      </c:layout>
      <c:overlay val="0"/>
    </c:title>
    <c:autoTitleDeleted val="0"/>
    <c:plotArea>
      <c:layout>
        <c:manualLayout>
          <c:layoutTarget val="inner"/>
          <c:xMode val="edge"/>
          <c:yMode val="edge"/>
          <c:x val="7.0105910665083843E-2"/>
          <c:y val="0.34782690742684608"/>
          <c:w val="0.87433975376642303"/>
          <c:h val="0.51207850260063448"/>
        </c:manualLayout>
      </c:layout>
      <c:barChart>
        <c:barDir val="col"/>
        <c:grouping val="clustered"/>
        <c:varyColors val="0"/>
        <c:ser>
          <c:idx val="0"/>
          <c:order val="0"/>
          <c:tx>
            <c:v>Денна</c:v>
          </c:tx>
          <c:spPr>
            <a:solidFill>
              <a:srgbClr val="92D050"/>
            </a:solidFill>
          </c:spPr>
          <c:invertIfNegative val="0"/>
          <c:dLbls>
            <c:dLbl>
              <c:idx val="1"/>
              <c:layout>
                <c:manualLayout>
                  <c:x val="-1.919697420881575E-3"/>
                  <c:y val="-8.2397861016352495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2"/>
              <c:layout>
                <c:manualLayout>
                  <c:x val="-4.6877909063281469E-3"/>
                  <c:y val="4.4932024910574004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1.0045205181376136E-2"/>
                  <c:y val="-5.609591065900716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2.8644891332662331E-3"/>
                  <c:y val="-1.6168887333034534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1.0234194753370562E-2"/>
                  <c:y val="-5.1766441105925171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5.6989847680940838E-3"/>
                  <c:y val="6.225840541238278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'всі курси'!$B$9:$B$15</c:f>
              <c:strCache>
                <c:ptCount val="7"/>
                <c:pt idx="0">
                  <c:v>ІЕП</c:v>
                </c:pt>
                <c:pt idx="1">
                  <c:v>ІУ</c:v>
                </c:pt>
                <c:pt idx="2">
                  <c:v>ІЖМК</c:v>
                </c:pt>
                <c:pt idx="3">
                  <c:v>ІІФ</c:v>
                </c:pt>
                <c:pt idx="4">
                  <c:v>ІЗСТ</c:v>
                </c:pt>
                <c:pt idx="5">
                  <c:v>ЦАТ</c:v>
                </c:pt>
                <c:pt idx="6">
                  <c:v>Філія у м. Кременчук</c:v>
                </c:pt>
              </c:strCache>
            </c:strRef>
          </c:cat>
          <c:val>
            <c:numRef>
              <c:f>'всі курси'!$O$9:$O$15</c:f>
              <c:numCache>
                <c:formatCode>0.00</c:formatCode>
                <c:ptCount val="7"/>
                <c:pt idx="0">
                  <c:v>3.8950370792926412</c:v>
                </c:pt>
                <c:pt idx="1">
                  <c:v>3.4726796983223025</c:v>
                </c:pt>
                <c:pt idx="2">
                  <c:v>4.0222077073807965</c:v>
                </c:pt>
                <c:pt idx="3">
                  <c:v>4.2203389830508478</c:v>
                </c:pt>
                <c:pt idx="4">
                  <c:v>3.7938078518991381</c:v>
                </c:pt>
                <c:pt idx="5">
                  <c:v>3.7207207207207209</c:v>
                </c:pt>
                <c:pt idx="6">
                  <c:v>3.7893772893772892</c:v>
                </c:pt>
              </c:numCache>
            </c:numRef>
          </c:val>
        </c:ser>
        <c:ser>
          <c:idx val="1"/>
          <c:order val="1"/>
          <c:tx>
            <c:v>Заочна</c:v>
          </c:tx>
          <c:spPr>
            <a:solidFill>
              <a:schemeClr val="tx2">
                <a:lumMod val="60000"/>
                <a:lumOff val="40000"/>
              </a:schemeClr>
            </a:solidFill>
          </c:spPr>
          <c:invertIfNegative val="0"/>
          <c:dPt>
            <c:idx val="0"/>
            <c:invertIfNegative val="0"/>
            <c:bubble3D val="0"/>
          </c:dPt>
          <c:dPt>
            <c:idx val="1"/>
            <c:invertIfNegative val="0"/>
            <c:bubble3D val="0"/>
          </c:dPt>
          <c:dPt>
            <c:idx val="2"/>
            <c:invertIfNegative val="0"/>
            <c:bubble3D val="0"/>
          </c:dPt>
          <c:dPt>
            <c:idx val="3"/>
            <c:invertIfNegative val="0"/>
            <c:bubble3D val="0"/>
          </c:dPt>
          <c:dLbls>
            <c:dLbl>
              <c:idx val="0"/>
              <c:layout>
                <c:manualLayout>
                  <c:x val="1.0929819525057356E-2"/>
                  <c:y val="-1.5990096033668241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1"/>
              <c:layout>
                <c:manualLayout>
                  <c:x val="7.5285113218336993E-3"/>
                  <c:y val="2.3524916030452868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2"/>
              <c:layout>
                <c:manualLayout>
                  <c:x val="8.0954622128601526E-3"/>
                  <c:y val="-3.5013484855966892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3"/>
              <c:layout>
                <c:manualLayout>
                  <c:x val="-7.2107615957440639E-3"/>
                  <c:y val="-4.6768570617512261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4"/>
              <c:layout>
                <c:manualLayout>
                  <c:x val="7.9064726408657818E-3"/>
                  <c:y val="-3.76822631358428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5"/>
              <c:layout>
                <c:manualLayout>
                  <c:x val="1.2441544303511529E-2"/>
                  <c:y val="2.2135722795532855E-3"/>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6"/>
              <c:layout>
                <c:manualLayout>
                  <c:x val="7.7174830688712436E-3"/>
                  <c:y val="-1.0772111748241015E-2"/>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7"/>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8"/>
              <c:layout>
                <c:manualLayout>
                  <c:xMode val="edge"/>
                  <c:yMode val="edge"/>
                  <c:x val="0.77116501731592224"/>
                  <c:y val="0.35748876596648071"/>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dLbl>
              <c:idx val="9"/>
              <c:layout>
                <c:manualLayout>
                  <c:xMode val="edge"/>
                  <c:yMode val="edge"/>
                  <c:x val="0.84656194010667285"/>
                  <c:y val="0.58695790628280275"/>
                </c:manualLayout>
              </c:layout>
              <c:spPr/>
              <c:txPr>
                <a:bodyPr rot="-5400000" vert="horz"/>
                <a:lstStyle/>
                <a:p>
                  <a:pPr>
                    <a:defRPr sz="1200" b="0" i="0" u="none" strike="noStrike" baseline="0">
                      <a:solidFill>
                        <a:srgbClr val="000000"/>
                      </a:solidFill>
                      <a:latin typeface="Calibri"/>
                      <a:ea typeface="Calibri"/>
                      <a:cs typeface="Calibri"/>
                    </a:defRPr>
                  </a:pPr>
                  <a:endParaRPr lang="uk-UA"/>
                </a:p>
              </c:txPr>
              <c:dLblPos val="outEnd"/>
              <c:showLegendKey val="0"/>
              <c:showVal val="1"/>
              <c:showCatName val="0"/>
              <c:showSerName val="0"/>
              <c:showPercent val="0"/>
              <c:showBubbleSize val="0"/>
            </c:dLbl>
            <c:spPr>
              <a:noFill/>
              <a:ln w="25400">
                <a:noFill/>
              </a:ln>
            </c:spPr>
            <c:txPr>
              <a:bodyPr rot="-5400000" vert="horz"/>
              <a:lstStyle/>
              <a:p>
                <a:pPr>
                  <a:defRPr sz="1200" b="0"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val>
            <c:numRef>
              <c:f>'всі курси'!$O$24:$O$30</c:f>
              <c:numCache>
                <c:formatCode>0.00</c:formatCode>
                <c:ptCount val="7"/>
                <c:pt idx="0">
                  <c:v>3.9835975943138329</c:v>
                </c:pt>
                <c:pt idx="1">
                  <c:v>3.6777464788732392</c:v>
                </c:pt>
                <c:pt idx="2">
                  <c:v>4.2290239726027394</c:v>
                </c:pt>
                <c:pt idx="3">
                  <c:v>4.3106796116504853</c:v>
                </c:pt>
                <c:pt idx="4">
                  <c:v>4.1201091901728848</c:v>
                </c:pt>
                <c:pt idx="5">
                  <c:v>3.9051094890510947</c:v>
                </c:pt>
                <c:pt idx="6">
                  <c:v>3.78125</c:v>
                </c:pt>
              </c:numCache>
            </c:numRef>
          </c:val>
        </c:ser>
        <c:dLbls>
          <c:showLegendKey val="0"/>
          <c:showVal val="0"/>
          <c:showCatName val="0"/>
          <c:showSerName val="0"/>
          <c:showPercent val="0"/>
          <c:showBubbleSize val="0"/>
        </c:dLbls>
        <c:gapWidth val="100"/>
        <c:axId val="154253568"/>
        <c:axId val="154263552"/>
      </c:barChart>
      <c:catAx>
        <c:axId val="154253568"/>
        <c:scaling>
          <c:orientation val="minMax"/>
        </c:scaling>
        <c:delete val="0"/>
        <c:axPos val="b"/>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4263552"/>
        <c:crosses val="autoZero"/>
        <c:auto val="1"/>
        <c:lblAlgn val="ctr"/>
        <c:lblOffset val="100"/>
        <c:tickLblSkip val="1"/>
        <c:tickMarkSkip val="1"/>
        <c:noMultiLvlLbl val="0"/>
      </c:catAx>
      <c:valAx>
        <c:axId val="154263552"/>
        <c:scaling>
          <c:orientation val="minMax"/>
          <c:max val="4.7"/>
          <c:min val="3"/>
        </c:scaling>
        <c:delete val="0"/>
        <c:axPos val="l"/>
        <c:numFmt formatCode="0.0" sourceLinked="0"/>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uk-UA"/>
          </a:p>
        </c:txPr>
        <c:crossAx val="154253568"/>
        <c:crosses val="autoZero"/>
        <c:crossBetween val="between"/>
        <c:majorUnit val="0.5"/>
      </c:valAx>
    </c:plotArea>
    <c:legend>
      <c:legendPos val="r"/>
      <c:layout>
        <c:manualLayout>
          <c:xMode val="edge"/>
          <c:yMode val="edge"/>
          <c:x val="0.78856220071727667"/>
          <c:y val="2.891566265060241E-2"/>
          <c:w val="0.1854420869147082"/>
          <c:h val="0.12048218069126901"/>
        </c:manualLayout>
      </c:layout>
      <c:overlay val="0"/>
      <c:txPr>
        <a:bodyPr/>
        <a:lstStyle/>
        <a:p>
          <a:pPr>
            <a:defRPr sz="1140" b="0" i="0" u="none" strike="noStrike" baseline="0">
              <a:solidFill>
                <a:srgbClr val="000000"/>
              </a:solidFill>
              <a:latin typeface="Calibri"/>
              <a:ea typeface="Calibri"/>
              <a:cs typeface="Calibri"/>
            </a:defRPr>
          </a:pPr>
          <a:endParaRPr lang="uk-UA"/>
        </a:p>
      </c:txPr>
    </c:legend>
    <c:plotVisOnly val="1"/>
    <c:dispBlanksAs val="gap"/>
    <c:showDLblsOverMax val="0"/>
  </c:chart>
  <c:txPr>
    <a:bodyPr/>
    <a:lstStyle/>
    <a:p>
      <a:pPr>
        <a:defRPr sz="1600" b="0" i="0" u="none" strike="noStrike" baseline="0">
          <a:solidFill>
            <a:srgbClr val="000000"/>
          </a:solidFill>
          <a:latin typeface="Calibri"/>
          <a:ea typeface="Calibri"/>
          <a:cs typeface="Calibri"/>
        </a:defRPr>
      </a:pPr>
      <a:endParaRPr lang="uk-UA"/>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0.80665</cdr:x>
      <cdr:y>0.93556</cdr:y>
    </cdr:from>
    <cdr:to>
      <cdr:x>0.99301</cdr:x>
      <cdr:y>0.99156</cdr:y>
    </cdr:to>
    <cdr:sp macro="" textlink="">
      <cdr:nvSpPr>
        <cdr:cNvPr id="38913" name="Text Box 4097"/>
        <cdr:cNvSpPr txBox="1">
          <a:spLocks xmlns:a="http://schemas.openxmlformats.org/drawingml/2006/main" noChangeArrowheads="1"/>
        </cdr:cNvSpPr>
      </cdr:nvSpPr>
      <cdr:spPr bwMode="auto">
        <a:xfrm xmlns:a="http://schemas.openxmlformats.org/drawingml/2006/main">
          <a:off x="6873098" y="5959950"/>
          <a:ext cx="1587888" cy="35674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1">
            <a:defRPr sz="1000"/>
          </a:pPr>
          <a:r>
            <a:rPr lang="ru-RU" sz="1075" b="1" i="0" strike="noStrike">
              <a:solidFill>
                <a:srgbClr val="000000"/>
              </a:solidFill>
              <a:latin typeface="Arial Cyr"/>
            </a:rPr>
            <a:t>Навчальні роки</a:t>
          </a:r>
        </a:p>
      </cdr:txBody>
    </cdr:sp>
  </cdr:relSizeAnchor>
</c:userShapes>
</file>

<file path=word/drawings/drawing2.xml><?xml version="1.0" encoding="utf-8"?>
<c:userShapes xmlns:c="http://schemas.openxmlformats.org/drawingml/2006/chart">
  <cdr:relSizeAnchor xmlns:cdr="http://schemas.openxmlformats.org/drawingml/2006/chartDrawing">
    <cdr:from>
      <cdr:x>0.85896</cdr:x>
      <cdr:y>0.9214</cdr:y>
    </cdr:from>
    <cdr:to>
      <cdr:x>0.98877</cdr:x>
      <cdr:y>0.97629</cdr:y>
    </cdr:to>
    <cdr:sp macro="" textlink="">
      <cdr:nvSpPr>
        <cdr:cNvPr id="37889" name="Text Box 2049"/>
        <cdr:cNvSpPr txBox="1">
          <a:spLocks xmlns:a="http://schemas.openxmlformats.org/drawingml/2006/main" noChangeArrowheads="1"/>
        </cdr:cNvSpPr>
      </cdr:nvSpPr>
      <cdr:spPr bwMode="auto">
        <a:xfrm xmlns:a="http://schemas.openxmlformats.org/drawingml/2006/main">
          <a:off x="11918372" y="6056500"/>
          <a:ext cx="1801090" cy="36075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27432" bIns="0" anchor="ctr" upright="1"/>
        <a:lstStyle xmlns:a="http://schemas.openxmlformats.org/drawingml/2006/main"/>
        <a:p xmlns:a="http://schemas.openxmlformats.org/drawingml/2006/main">
          <a:pPr algn="ctr" rtl="1">
            <a:defRPr sz="1000"/>
          </a:pPr>
          <a:r>
            <a:rPr lang="ru-RU" sz="1075" b="1" i="0" strike="noStrike">
              <a:solidFill>
                <a:srgbClr val="000000"/>
              </a:solidFill>
              <a:latin typeface="Arial Cyr"/>
            </a:rPr>
            <a:t>Навчальні роки</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2446A-9FC2-49FF-AFA3-131A0C90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4713</Words>
  <Characters>2687</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Звіт</vt:lpstr>
    </vt:vector>
  </TitlesOfParts>
  <Company>SPecialiST RePack</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dc:title>
  <dc:creator>Dek_MAN</dc:creator>
  <cp:lastModifiedBy>Кравченко Владимир Николаевич</cp:lastModifiedBy>
  <cp:revision>2</cp:revision>
  <cp:lastPrinted>2024-08-19T13:24:00Z</cp:lastPrinted>
  <dcterms:created xsi:type="dcterms:W3CDTF">2026-04-10T11:57:00Z</dcterms:created>
  <dcterms:modified xsi:type="dcterms:W3CDTF">2026-04-10T11:57:00Z</dcterms:modified>
</cp:coreProperties>
</file>